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B8" w:rsidRDefault="00F63AB8" w:rsidP="00F63AB8">
      <w:pPr>
        <w:pStyle w:val="NormalWeb"/>
        <w:shd w:val="clear" w:color="auto" w:fill="FFFFFF"/>
        <w:spacing w:before="18" w:beforeAutospacing="0" w:after="0" w:afterAutospacing="0"/>
        <w:ind w:firstLine="426"/>
        <w:jc w:val="both"/>
        <w:rPr>
          <w:bCs/>
          <w:color w:val="373A3C"/>
          <w:spacing w:val="1"/>
        </w:rPr>
      </w:pPr>
    </w:p>
    <w:p w:rsidR="00F63AB8" w:rsidRPr="00D209C5" w:rsidRDefault="00F63AB8" w:rsidP="00F63AB8">
      <w:pPr>
        <w:pStyle w:val="NormalWeb"/>
        <w:shd w:val="clear" w:color="auto" w:fill="FFFFFF"/>
        <w:spacing w:before="18" w:beforeAutospacing="0" w:after="0" w:afterAutospacing="0"/>
        <w:ind w:firstLine="426"/>
        <w:jc w:val="both"/>
        <w:rPr>
          <w:bCs/>
          <w:color w:val="373A3C"/>
          <w:spacing w:val="1"/>
        </w:rPr>
      </w:pPr>
    </w:p>
    <w:p w:rsidR="00F63AB8" w:rsidRPr="009F0DBD" w:rsidRDefault="00F63AB8" w:rsidP="00F63AB8">
      <w:pPr>
        <w:pStyle w:val="NormalWeb"/>
        <w:shd w:val="clear" w:color="auto" w:fill="FFFFFF"/>
        <w:spacing w:before="18" w:beforeAutospacing="0" w:after="0" w:afterAutospacing="0"/>
        <w:ind w:firstLine="426"/>
        <w:jc w:val="right"/>
        <w:rPr>
          <w:bCs/>
          <w:color w:val="373A3C"/>
          <w:spacing w:val="1"/>
        </w:rPr>
      </w:pP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NOTAS EXPLICATIVAS ÀS DEMONSTRAÇÕES CONTÁBEIS ENCERRADAS EM 31/12/2017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CONTEXTO OPERACIONAL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O Conselho Regional de Psicologia 10ª Região PA/AP, criado pela Lei 5.766/71, constitui uma Autarquia Federal dotada de personalidade jurídica de direito público, com autonomia administrativa e financeira, e tem por finalidade orientar, disciplinar e fiscalizar o exercício da profissão de Psicólogo e zelar pela fiel observância dos princípios de ética e disciplina da classe. O CRP10 tem jurisdição em todo o estado do Pará e Amapá, com sede na cidade de Belém-PA e sua seção na cidade de Macapá-AP.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b/>
          <w:bCs/>
          <w:sz w:val="22"/>
          <w:szCs w:val="22"/>
        </w:rPr>
        <w:t xml:space="preserve">2. </w:t>
      </w:r>
      <w:r>
        <w:rPr>
          <w:b/>
          <w:bCs/>
          <w:sz w:val="23"/>
          <w:szCs w:val="23"/>
        </w:rPr>
        <w:t xml:space="preserve">PRINCIPAIS DIRETRIZES CONTÁBEIS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 Convergência às novas normas de contabilidade aplicada ao setor público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 Portaria nº 184/2008 determinou que a Secretaria do Tesouro Nacional - STN deveria promover a convergência às Normas Internacionais de Contabilidade e às Normas Brasileiras de Contabilidade Aplicadas ao Setor Público,</w:t>
      </w:r>
      <w:proofErr w:type="gramStart"/>
      <w:r>
        <w:rPr>
          <w:sz w:val="23"/>
          <w:szCs w:val="23"/>
        </w:rPr>
        <w:t xml:space="preserve">  </w:t>
      </w:r>
      <w:proofErr w:type="gramEnd"/>
      <w:r>
        <w:rPr>
          <w:sz w:val="23"/>
          <w:szCs w:val="23"/>
        </w:rPr>
        <w:t xml:space="preserve">editadas pelo Conselho Federal de Contabilidade – CFC.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O Decreto nº 6.976/2009 atribuiu a STN a competência de promover a consolidação das contas públicas, padronização das prestações de contas e dos relatórios e demonstrativos por meio da elaboração do Manual de Contabilidade Aplicada ao Setor Público – MCASP. 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 Portaria STN nº 828/2011 alterou o prazo de</w:t>
      </w:r>
      <w:proofErr w:type="gramStart"/>
      <w:r>
        <w:rPr>
          <w:sz w:val="23"/>
          <w:szCs w:val="23"/>
        </w:rPr>
        <w:t xml:space="preserve">  </w:t>
      </w:r>
      <w:proofErr w:type="gramEnd"/>
      <w:r>
        <w:rPr>
          <w:sz w:val="23"/>
          <w:szCs w:val="23"/>
        </w:rPr>
        <w:t xml:space="preserve">implementação do Plano de Contas Aplicado ao Setor Público – PCASP, determinando que a Parte II – Procedimentos Contábeis Patrimoniais, deverá ser adotada pelos entes da Federação gradualmente a partir do exercício de 2012 e integralmente até o final do exercício de 2014. </w:t>
      </w:r>
    </w:p>
    <w:p w:rsidR="004F4153" w:rsidRDefault="004F4153" w:rsidP="004F4153">
      <w:pPr>
        <w:jc w:val="both"/>
      </w:pPr>
      <w:r w:rsidRPr="00B322B9">
        <w:rPr>
          <w:rFonts w:ascii="Arial" w:hAnsi="Arial" w:cs="Arial"/>
          <w:sz w:val="23"/>
          <w:szCs w:val="23"/>
        </w:rPr>
        <w:t xml:space="preserve">Conforme o exposto, o CRP10 iniciou o processo de convergência a partir de janeiro de 2012 adotando novos procedimentos contábeis de acordo com o MCASP, o novo Plano de Contas Aplicado ao Setor Público, e implantando o novo sistema </w:t>
      </w:r>
      <w:proofErr w:type="gramStart"/>
      <w:r w:rsidRPr="00B322B9">
        <w:rPr>
          <w:rFonts w:ascii="Arial" w:hAnsi="Arial" w:cs="Arial"/>
          <w:sz w:val="23"/>
          <w:szCs w:val="23"/>
        </w:rPr>
        <w:t>SISCONT.</w:t>
      </w:r>
      <w:proofErr w:type="gramEnd"/>
      <w:r w:rsidRPr="00B322B9">
        <w:rPr>
          <w:rFonts w:ascii="Arial" w:hAnsi="Arial" w:cs="Arial"/>
          <w:sz w:val="23"/>
          <w:szCs w:val="23"/>
        </w:rPr>
        <w:t>NET.</w:t>
      </w:r>
    </w:p>
    <w:p w:rsidR="004F4153" w:rsidRDefault="004F4153" w:rsidP="004F4153">
      <w:pPr>
        <w:pStyle w:val="Default"/>
        <w:jc w:val="both"/>
      </w:pPr>
      <w:r>
        <w:t xml:space="preserve"> 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2.2. Políticas Contábeis </w:t>
      </w:r>
    </w:p>
    <w:p w:rsidR="004F4153" w:rsidRDefault="004F4153" w:rsidP="004F4153">
      <w:pPr>
        <w:jc w:val="both"/>
        <w:rPr>
          <w:sz w:val="23"/>
          <w:szCs w:val="23"/>
        </w:rPr>
      </w:pPr>
      <w:r w:rsidRPr="00B322B9">
        <w:rPr>
          <w:rFonts w:ascii="Arial" w:hAnsi="Arial" w:cs="Arial"/>
          <w:sz w:val="23"/>
          <w:szCs w:val="23"/>
        </w:rPr>
        <w:t>Com a adoção dos novos procedimentos contábeis, desde 2012, passou-se a aplicar o regime de competência para todos os atos e fatos que afetam o patrimônio da Instituição, realizando, dessa forma, o reconhecimento dos créditos tributários a receber e a provisão para devedores duvidosos.</w:t>
      </w:r>
    </w:p>
    <w:p w:rsidR="004F4153" w:rsidRDefault="004F4153" w:rsidP="004F4153">
      <w:pPr>
        <w:pStyle w:val="Default"/>
        <w:jc w:val="both"/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Default="004F4153" w:rsidP="004F4153">
      <w:pPr>
        <w:pStyle w:val="Default"/>
        <w:jc w:val="both"/>
        <w:rPr>
          <w:b/>
          <w:bCs/>
          <w:sz w:val="23"/>
          <w:szCs w:val="23"/>
        </w:rPr>
      </w:pPr>
    </w:p>
    <w:p w:rsidR="00A37FBD" w:rsidRDefault="00A37FBD" w:rsidP="004F4153">
      <w:pPr>
        <w:pStyle w:val="Default"/>
        <w:jc w:val="both"/>
        <w:rPr>
          <w:b/>
          <w:bCs/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2.3. Apresentação das Demonstrações Contábeis </w:t>
      </w:r>
    </w:p>
    <w:p w:rsidR="004F4153" w:rsidRPr="00B322B9" w:rsidRDefault="004F4153" w:rsidP="004F4153">
      <w:pPr>
        <w:jc w:val="both"/>
        <w:rPr>
          <w:rFonts w:ascii="Arial" w:hAnsi="Arial" w:cs="Arial"/>
          <w:sz w:val="23"/>
          <w:szCs w:val="23"/>
        </w:rPr>
      </w:pPr>
      <w:r w:rsidRPr="00B322B9">
        <w:rPr>
          <w:rFonts w:ascii="Arial" w:hAnsi="Arial" w:cs="Arial"/>
          <w:sz w:val="23"/>
          <w:szCs w:val="23"/>
        </w:rPr>
        <w:t>As Demonstrações Contábeis do exercício de 2017 foram elaboradas em conformidade com a Lei 4.320/64, as Normas Brasileiras de Contabilidade Aplicadas ao Setor Público, o Manual de Contabilidade Aplicada ao Setor Público e o Manual de Procedimentos Administrativos, Financeiros e Contábeis instituído pela Resolução CFP nº 010/2007.</w:t>
      </w:r>
    </w:p>
    <w:p w:rsidR="00F63AB8" w:rsidRDefault="00F63AB8" w:rsidP="00F63AB8">
      <w:pPr>
        <w:pStyle w:val="NormalWeb"/>
        <w:shd w:val="clear" w:color="auto" w:fill="FFFFFF"/>
        <w:spacing w:before="18" w:beforeAutospacing="0" w:after="0" w:afterAutospacing="0" w:line="276" w:lineRule="auto"/>
        <w:jc w:val="both"/>
      </w:pPr>
      <w:r w:rsidRPr="00565670">
        <w:tab/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I – Balanço Patrimonial 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O Balanço Patrimonial evidencia, qualitativa e quantitativamente, a situação patrimonial da entidade pública. 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Ativo circulante 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O Ativo Circulante inclui o Caixa e Equivalentes de Caixa, os Créditos </w:t>
      </w:r>
      <w:proofErr w:type="gramStart"/>
      <w:r w:rsidRPr="00B322B9">
        <w:rPr>
          <w:sz w:val="23"/>
          <w:szCs w:val="23"/>
        </w:rPr>
        <w:t>a Curto Prazo</w:t>
      </w:r>
      <w:proofErr w:type="gramEnd"/>
      <w:r w:rsidRPr="00B322B9">
        <w:rPr>
          <w:sz w:val="23"/>
          <w:szCs w:val="23"/>
        </w:rPr>
        <w:t xml:space="preserve"> (compostos pelos Créditos Tributários a Receber de Anuidades e Fundo de Seções, pela Dívida Ativa e deduzidos pela</w:t>
      </w:r>
      <w:r>
        <w:rPr>
          <w:sz w:val="23"/>
          <w:szCs w:val="23"/>
        </w:rPr>
        <w:t>s</w:t>
      </w:r>
      <w:r w:rsidRPr="00B322B9">
        <w:rPr>
          <w:sz w:val="23"/>
          <w:szCs w:val="23"/>
        </w:rPr>
        <w:t xml:space="preserve"> </w:t>
      </w:r>
      <w:r>
        <w:rPr>
          <w:sz w:val="23"/>
          <w:szCs w:val="23"/>
        </w:rPr>
        <w:t>perdas estimadas de crédito de liquidação duvidosa</w:t>
      </w:r>
      <w:r w:rsidRPr="00B322B9">
        <w:rPr>
          <w:sz w:val="23"/>
          <w:szCs w:val="23"/>
        </w:rPr>
        <w:t xml:space="preserve">), Demais Créditos e Valores a Curto Prazo (Adiantamento de férias a funcionários e Provisão de IRRF a recuperar), Estoques (Material de consumo que se encontra no estoque do almoxarifado, os quais são registrados pelo custo de aquisição e baixados pelo custo médio ponderado) e Variações Patrimoniais Diminutivas pagas Antecipadamente. 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>Destes informados, destaca</w:t>
      </w:r>
      <w:r>
        <w:rPr>
          <w:sz w:val="23"/>
          <w:szCs w:val="23"/>
        </w:rPr>
        <w:t>m</w:t>
      </w:r>
      <w:r w:rsidRPr="00B322B9">
        <w:rPr>
          <w:sz w:val="23"/>
          <w:szCs w:val="23"/>
        </w:rPr>
        <w:t xml:space="preserve">-se as </w:t>
      </w:r>
      <w:r>
        <w:rPr>
          <w:sz w:val="23"/>
          <w:szCs w:val="23"/>
        </w:rPr>
        <w:t>perdas estimadas de crédito de liquidação duvidosa</w:t>
      </w:r>
      <w:r w:rsidRPr="00B322B9">
        <w:rPr>
          <w:sz w:val="23"/>
          <w:szCs w:val="23"/>
        </w:rPr>
        <w:t xml:space="preserve"> no valor de R$ </w:t>
      </w:r>
      <w:r>
        <w:t>860.533,92</w:t>
      </w:r>
      <w:r w:rsidRPr="00B322B9">
        <w:rPr>
          <w:sz w:val="23"/>
          <w:szCs w:val="23"/>
        </w:rPr>
        <w:t xml:space="preserve"> (composta pelos créditos tributários não arrecadados de 201</w:t>
      </w:r>
      <w:r>
        <w:rPr>
          <w:sz w:val="23"/>
          <w:szCs w:val="23"/>
        </w:rPr>
        <w:t>7</w:t>
      </w:r>
      <w:r w:rsidRPr="00B322B9">
        <w:rPr>
          <w:sz w:val="23"/>
          <w:szCs w:val="23"/>
        </w:rPr>
        <w:t xml:space="preserve">, como anuidade de pessoa física no valor de R$ </w:t>
      </w:r>
      <w:r>
        <w:t>820.235,57</w:t>
      </w:r>
      <w:r w:rsidRPr="00B322B9">
        <w:rPr>
          <w:sz w:val="23"/>
          <w:szCs w:val="23"/>
        </w:rPr>
        <w:t xml:space="preserve">, anuidade de pessoa jurídica no valor de R$ </w:t>
      </w:r>
      <w:r>
        <w:t>31.666,98</w:t>
      </w:r>
      <w:r w:rsidRPr="00B322B9">
        <w:rPr>
          <w:sz w:val="23"/>
          <w:szCs w:val="23"/>
        </w:rPr>
        <w:t xml:space="preserve"> e fundo de seções no valor de R$ </w:t>
      </w:r>
      <w:r>
        <w:t>8.631,37</w:t>
      </w:r>
      <w:r w:rsidRPr="00B322B9">
        <w:rPr>
          <w:sz w:val="23"/>
          <w:szCs w:val="23"/>
        </w:rPr>
        <w:t>).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color w:val="auto"/>
          <w:sz w:val="23"/>
          <w:szCs w:val="23"/>
        </w:rPr>
      </w:pPr>
    </w:p>
    <w:p w:rsidR="004F4153" w:rsidRPr="00B322B9" w:rsidRDefault="004F4153" w:rsidP="004F4153">
      <w:pPr>
        <w:pStyle w:val="Default"/>
        <w:tabs>
          <w:tab w:val="right" w:pos="8504"/>
        </w:tabs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Ativo Não-Circulante </w:t>
      </w:r>
      <w:r>
        <w:rPr>
          <w:b/>
          <w:bCs/>
          <w:sz w:val="23"/>
          <w:szCs w:val="23"/>
        </w:rPr>
        <w:tab/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O Ativo Não-Circulante inclui o Imobilizado que é composto pelos Bens Móveis e Imóveis, deduzidos pela Depreciação. </w:t>
      </w:r>
    </w:p>
    <w:p w:rsidR="004F4153" w:rsidRPr="00B322B9" w:rsidRDefault="004F4153" w:rsidP="004F4153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>Em 201</w:t>
      </w:r>
      <w:r>
        <w:rPr>
          <w:sz w:val="23"/>
          <w:szCs w:val="23"/>
        </w:rPr>
        <w:t>7</w:t>
      </w:r>
      <w:r w:rsidRPr="00B322B9">
        <w:rPr>
          <w:sz w:val="23"/>
          <w:szCs w:val="23"/>
        </w:rPr>
        <w:t xml:space="preserve">, o imobilizado </w:t>
      </w:r>
      <w:r>
        <w:rPr>
          <w:sz w:val="23"/>
          <w:szCs w:val="23"/>
        </w:rPr>
        <w:t>apresentou o</w:t>
      </w:r>
      <w:r w:rsidRPr="00B322B9">
        <w:rPr>
          <w:sz w:val="23"/>
          <w:szCs w:val="23"/>
        </w:rPr>
        <w:t xml:space="preserve"> saldo no valor de R$ </w:t>
      </w:r>
      <w:r>
        <w:t>673.240,03,</w:t>
      </w:r>
      <w:r>
        <w:rPr>
          <w:sz w:val="23"/>
          <w:szCs w:val="23"/>
        </w:rPr>
        <w:t xml:space="preserve"> decorrente da aquisição de bens móveis no valor de R$ 49.832,62 com saldo final de R$ </w:t>
      </w:r>
      <w:r>
        <w:t>248.580,88</w:t>
      </w:r>
      <w:proofErr w:type="gramStart"/>
      <w:r w:rsidRPr="00B322B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proofErr w:type="gramEnd"/>
      <w:r>
        <w:rPr>
          <w:sz w:val="23"/>
          <w:szCs w:val="23"/>
        </w:rPr>
        <w:t xml:space="preserve">e bens imóveis com saldo de R$ </w:t>
      </w:r>
      <w:r>
        <w:t>422.759,15.</w:t>
      </w:r>
    </w:p>
    <w:p w:rsidR="004F4153" w:rsidRDefault="004F4153" w:rsidP="004F4153">
      <w:pPr>
        <w:pStyle w:val="Default"/>
        <w:jc w:val="both"/>
        <w:rPr>
          <w:sz w:val="23"/>
          <w:szCs w:val="23"/>
        </w:rPr>
      </w:pPr>
    </w:p>
    <w:p w:rsidR="00A37FBD" w:rsidRPr="00B322B9" w:rsidRDefault="00A37FBD" w:rsidP="004F4153">
      <w:pPr>
        <w:pStyle w:val="Default"/>
        <w:jc w:val="both"/>
        <w:rPr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b/>
          <w:bCs/>
          <w:color w:val="auto"/>
          <w:sz w:val="23"/>
          <w:szCs w:val="23"/>
        </w:rPr>
        <w:t xml:space="preserve">Passivo Circulante </w:t>
      </w:r>
    </w:p>
    <w:p w:rsidR="004F4153" w:rsidRDefault="004F4153" w:rsidP="004F4153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color w:val="auto"/>
          <w:sz w:val="23"/>
          <w:szCs w:val="23"/>
        </w:rPr>
        <w:t xml:space="preserve">O Passivo Circulante inclui Obrigações Trabalhistas, Previdenciárias e Assistências a Pagar </w:t>
      </w:r>
      <w:proofErr w:type="gramStart"/>
      <w:r w:rsidRPr="00B322B9">
        <w:rPr>
          <w:color w:val="auto"/>
          <w:sz w:val="23"/>
          <w:szCs w:val="23"/>
        </w:rPr>
        <w:t>a Curto Prazo</w:t>
      </w:r>
      <w:proofErr w:type="gramEnd"/>
      <w:r w:rsidRPr="00B322B9">
        <w:rPr>
          <w:color w:val="auto"/>
          <w:sz w:val="23"/>
          <w:szCs w:val="23"/>
        </w:rPr>
        <w:t>, Empréstimos e Financiamentos a Curto Prazo</w:t>
      </w:r>
      <w:r>
        <w:rPr>
          <w:color w:val="auto"/>
          <w:sz w:val="23"/>
          <w:szCs w:val="23"/>
        </w:rPr>
        <w:t>, Fornecedores e  Contas a Pagar a Curto Prazo</w:t>
      </w:r>
      <w:r w:rsidRPr="00B322B9">
        <w:rPr>
          <w:color w:val="auto"/>
          <w:sz w:val="23"/>
          <w:szCs w:val="23"/>
        </w:rPr>
        <w:t xml:space="preserve"> Obrigações Fiscais a Curto Prazo (impostos a recolher), Obrigações de Repartição a Outros Entes (Cota Parte, Cota Revista e Fundo de Seções a repassar ao CFP), Provisões a Curto Prazo (Provisões para férias).</w:t>
      </w:r>
    </w:p>
    <w:p w:rsidR="004F4153" w:rsidRDefault="004F4153" w:rsidP="004F4153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color w:val="auto"/>
          <w:sz w:val="23"/>
          <w:szCs w:val="23"/>
        </w:rPr>
        <w:t xml:space="preserve"> </w:t>
      </w:r>
    </w:p>
    <w:p w:rsidR="00A37FBD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A37FBD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A37FBD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A37FBD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A37FBD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A37FBD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A37FBD" w:rsidRPr="00B322B9" w:rsidRDefault="00A37FBD" w:rsidP="004F4153">
      <w:pPr>
        <w:pStyle w:val="Default"/>
        <w:jc w:val="both"/>
        <w:rPr>
          <w:color w:val="auto"/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b/>
          <w:bCs/>
          <w:color w:val="auto"/>
          <w:sz w:val="23"/>
          <w:szCs w:val="23"/>
        </w:rPr>
        <w:t xml:space="preserve">Passivo Não-Circulante </w:t>
      </w:r>
    </w:p>
    <w:p w:rsidR="004F4153" w:rsidRDefault="004F4153" w:rsidP="004F41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</w:t>
      </w:r>
      <w:r w:rsidRPr="00B322B9">
        <w:rPr>
          <w:color w:val="auto"/>
          <w:sz w:val="23"/>
          <w:szCs w:val="23"/>
        </w:rPr>
        <w:t xml:space="preserve"> Passivo Não-Circulante inclui Obrigações Trabalhistas, Previdenciárias e Assistências a Pagar </w:t>
      </w:r>
      <w:proofErr w:type="gramStart"/>
      <w:r w:rsidRPr="00B322B9">
        <w:rPr>
          <w:color w:val="auto"/>
          <w:sz w:val="23"/>
          <w:szCs w:val="23"/>
        </w:rPr>
        <w:t xml:space="preserve">a </w:t>
      </w:r>
      <w:r>
        <w:rPr>
          <w:color w:val="auto"/>
          <w:sz w:val="23"/>
          <w:szCs w:val="23"/>
        </w:rPr>
        <w:t>Longo</w:t>
      </w:r>
      <w:r w:rsidRPr="00B322B9">
        <w:rPr>
          <w:color w:val="auto"/>
          <w:sz w:val="23"/>
          <w:szCs w:val="23"/>
        </w:rPr>
        <w:t xml:space="preserve"> Prazo</w:t>
      </w:r>
      <w:proofErr w:type="gramEnd"/>
      <w:r w:rsidRPr="00B322B9">
        <w:rPr>
          <w:color w:val="auto"/>
          <w:sz w:val="23"/>
          <w:szCs w:val="23"/>
        </w:rPr>
        <w:t xml:space="preserve">, Empréstimos e Financiamentos a </w:t>
      </w:r>
      <w:r>
        <w:rPr>
          <w:color w:val="auto"/>
          <w:sz w:val="23"/>
          <w:szCs w:val="23"/>
        </w:rPr>
        <w:t>Longo Prazo, Fornecedores e Contas a Pagar a Curto Prazo,</w:t>
      </w:r>
      <w:r w:rsidRPr="00B322B9">
        <w:rPr>
          <w:color w:val="auto"/>
          <w:sz w:val="23"/>
          <w:szCs w:val="23"/>
        </w:rPr>
        <w:t xml:space="preserve"> Obrigações Fiscais a </w:t>
      </w:r>
      <w:r>
        <w:rPr>
          <w:color w:val="auto"/>
          <w:sz w:val="23"/>
          <w:szCs w:val="23"/>
        </w:rPr>
        <w:t>Longo</w:t>
      </w:r>
      <w:r w:rsidRPr="00B322B9">
        <w:rPr>
          <w:color w:val="auto"/>
          <w:sz w:val="23"/>
          <w:szCs w:val="23"/>
        </w:rPr>
        <w:t xml:space="preserve"> Prazo (impostos a recolher), Obrigações de Repartição a Outros Entes (Cota Parte, Cota Revista e Fundo de Seções a repassar ao CFP), Provisões a </w:t>
      </w:r>
      <w:r>
        <w:rPr>
          <w:color w:val="auto"/>
          <w:sz w:val="23"/>
          <w:szCs w:val="23"/>
        </w:rPr>
        <w:t>Longo</w:t>
      </w:r>
      <w:r w:rsidRPr="00B322B9">
        <w:rPr>
          <w:color w:val="auto"/>
          <w:sz w:val="23"/>
          <w:szCs w:val="23"/>
        </w:rPr>
        <w:t xml:space="preserve"> Prazo </w:t>
      </w:r>
      <w:r>
        <w:rPr>
          <w:color w:val="auto"/>
          <w:sz w:val="23"/>
          <w:szCs w:val="23"/>
        </w:rPr>
        <w:t>e Resultado Diferido</w:t>
      </w:r>
      <w:r w:rsidRPr="00B322B9">
        <w:rPr>
          <w:color w:val="auto"/>
          <w:sz w:val="23"/>
          <w:szCs w:val="23"/>
        </w:rPr>
        <w:t>.</w:t>
      </w:r>
    </w:p>
    <w:p w:rsidR="004F4153" w:rsidRDefault="004F4153" w:rsidP="004F4153">
      <w:pPr>
        <w:pStyle w:val="Default"/>
        <w:jc w:val="both"/>
        <w:rPr>
          <w:color w:val="auto"/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color w:val="auto"/>
          <w:sz w:val="23"/>
          <w:szCs w:val="23"/>
        </w:rPr>
      </w:pPr>
    </w:p>
    <w:p w:rsidR="004F4153" w:rsidRPr="00B322B9" w:rsidRDefault="004F4153" w:rsidP="004F4153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b/>
          <w:bCs/>
          <w:color w:val="auto"/>
          <w:sz w:val="23"/>
          <w:szCs w:val="23"/>
        </w:rPr>
        <w:t xml:space="preserve">Patrimônio Líquido </w:t>
      </w:r>
    </w:p>
    <w:p w:rsidR="00D378BE" w:rsidRDefault="004F4153" w:rsidP="00623048">
      <w:pPr>
        <w:pStyle w:val="Default"/>
        <w:jc w:val="both"/>
        <w:rPr>
          <w:rFonts w:ascii="Times New Roman" w:hAnsi="Times New Roman"/>
          <w:sz w:val="20"/>
          <w:szCs w:val="20"/>
        </w:rPr>
      </w:pPr>
      <w:r w:rsidRPr="00B322B9">
        <w:rPr>
          <w:color w:val="auto"/>
          <w:sz w:val="23"/>
          <w:szCs w:val="23"/>
        </w:rPr>
        <w:t xml:space="preserve">O Patrimônio Líquido é o valor residual dos ativos da entidade depois de deduzidos todos seus passivos, demonstrando, dessa forma, os Resultados Acumulados. </w:t>
      </w:r>
    </w:p>
    <w:p w:rsidR="00623048" w:rsidRDefault="00623048" w:rsidP="00623048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color w:val="auto"/>
          <w:sz w:val="23"/>
          <w:szCs w:val="23"/>
        </w:rPr>
        <w:t>Em 201</w:t>
      </w:r>
      <w:r>
        <w:rPr>
          <w:color w:val="auto"/>
          <w:sz w:val="23"/>
          <w:szCs w:val="23"/>
        </w:rPr>
        <w:t>7</w:t>
      </w:r>
      <w:r w:rsidRPr="00B322B9">
        <w:rPr>
          <w:color w:val="auto"/>
          <w:sz w:val="23"/>
          <w:szCs w:val="23"/>
        </w:rPr>
        <w:t xml:space="preserve">, conforme demonstrado no balanço patrimonial, o patrimônio líquido apresentou um resultado acumulado de R$ </w:t>
      </w:r>
      <w:r>
        <w:t>1.643.748,04</w:t>
      </w:r>
      <w:r w:rsidRPr="00B322B9">
        <w:rPr>
          <w:color w:val="auto"/>
          <w:sz w:val="23"/>
          <w:szCs w:val="23"/>
        </w:rPr>
        <w:t xml:space="preserve">, onde parte deste resultado é referente </w:t>
      </w:r>
      <w:proofErr w:type="gramStart"/>
      <w:r w:rsidRPr="00B322B9">
        <w:rPr>
          <w:color w:val="auto"/>
          <w:sz w:val="23"/>
          <w:szCs w:val="23"/>
        </w:rPr>
        <w:t>a</w:t>
      </w:r>
      <w:proofErr w:type="gramEnd"/>
      <w:r w:rsidRPr="00B322B9">
        <w:rPr>
          <w:color w:val="auto"/>
          <w:sz w:val="23"/>
          <w:szCs w:val="23"/>
        </w:rPr>
        <w:t xml:space="preserve"> inscrição de restos a pagar no valor total de R$ </w:t>
      </w:r>
      <w:r>
        <w:t>730,00</w:t>
      </w:r>
      <w:r w:rsidRPr="00B322B9">
        <w:rPr>
          <w:color w:val="auto"/>
          <w:sz w:val="23"/>
          <w:szCs w:val="23"/>
        </w:rPr>
        <w:t xml:space="preserve">, </w:t>
      </w:r>
      <w:r>
        <w:rPr>
          <w:color w:val="auto"/>
          <w:sz w:val="23"/>
          <w:szCs w:val="23"/>
        </w:rPr>
        <w:t>devida a</w:t>
      </w:r>
      <w:r w:rsidRPr="00B322B9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Márcio Rodrigo Ribeiro de Magalhães pelo serviço de suporte de informática.</w:t>
      </w: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II – Balanço Orçamentário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O Balanço Orçamentário evidencia as receitas e as despesas orçamentárias, confrontando o orçamento inicial e as suas alterações com a execução, demonstrando o resultado orçamentário.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>O Resultado Orçamentário no exercício de 201</w:t>
      </w:r>
      <w:r>
        <w:rPr>
          <w:sz w:val="23"/>
          <w:szCs w:val="23"/>
        </w:rPr>
        <w:t>7</w:t>
      </w:r>
      <w:r w:rsidRPr="00B322B9">
        <w:rPr>
          <w:sz w:val="23"/>
          <w:szCs w:val="23"/>
        </w:rPr>
        <w:t xml:space="preserve"> é demonstrado pela diferença entre o total de Receitas Realizadas de R$ </w:t>
      </w:r>
      <w:r>
        <w:t xml:space="preserve">1.753.034,30 </w:t>
      </w:r>
      <w:r w:rsidRPr="00B322B9">
        <w:rPr>
          <w:sz w:val="23"/>
          <w:szCs w:val="23"/>
        </w:rPr>
        <w:t xml:space="preserve">e o total de Despesas Empenhadas de R$ </w:t>
      </w:r>
      <w:r>
        <w:t>1.466.358,63</w:t>
      </w:r>
      <w:r w:rsidRPr="00B322B9">
        <w:rPr>
          <w:sz w:val="23"/>
          <w:szCs w:val="23"/>
        </w:rPr>
        <w:t xml:space="preserve">, apresentando um </w:t>
      </w:r>
      <w:r>
        <w:rPr>
          <w:sz w:val="23"/>
          <w:szCs w:val="23"/>
        </w:rPr>
        <w:t>superávit</w:t>
      </w:r>
      <w:r w:rsidRPr="00B322B9">
        <w:rPr>
          <w:sz w:val="23"/>
          <w:szCs w:val="23"/>
        </w:rPr>
        <w:t xml:space="preserve"> orçamentário de R$ </w:t>
      </w:r>
      <w:r>
        <w:t>286.675,67.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>II</w:t>
      </w:r>
      <w:r>
        <w:rPr>
          <w:b/>
          <w:bCs/>
          <w:sz w:val="23"/>
          <w:szCs w:val="23"/>
        </w:rPr>
        <w:t>I</w:t>
      </w:r>
      <w:r w:rsidRPr="00B322B9">
        <w:rPr>
          <w:b/>
          <w:bCs/>
          <w:sz w:val="23"/>
          <w:szCs w:val="23"/>
        </w:rPr>
        <w:t xml:space="preserve"> – Balanço Financeiro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O Balanço Financeiro evidencia as receitas e as despesas orçamentárias, bem como os ingressos e dispêndios </w:t>
      </w:r>
      <w:proofErr w:type="spellStart"/>
      <w:r w:rsidRPr="00B322B9">
        <w:rPr>
          <w:sz w:val="23"/>
          <w:szCs w:val="23"/>
        </w:rPr>
        <w:t>extraorçamentários</w:t>
      </w:r>
      <w:proofErr w:type="spellEnd"/>
      <w:r w:rsidRPr="00B322B9">
        <w:rPr>
          <w:sz w:val="23"/>
          <w:szCs w:val="23"/>
        </w:rPr>
        <w:t xml:space="preserve"> conjugados com os saldos de caixa do exercício anterior e os que se transferem para o início do exercício seguinte.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>O Resultado Financeiro no exercício de 201</w:t>
      </w:r>
      <w:r>
        <w:rPr>
          <w:sz w:val="23"/>
          <w:szCs w:val="23"/>
        </w:rPr>
        <w:t>7</w:t>
      </w:r>
      <w:r w:rsidRPr="00B322B9">
        <w:rPr>
          <w:sz w:val="23"/>
          <w:szCs w:val="23"/>
        </w:rPr>
        <w:t xml:space="preserve"> é demonstrado pela diferença entre o total dos ingressos orçamentários (R$ </w:t>
      </w:r>
      <w:r>
        <w:t>1.753.034,30</w:t>
      </w:r>
      <w:r w:rsidRPr="00B322B9">
        <w:rPr>
          <w:sz w:val="23"/>
          <w:szCs w:val="23"/>
        </w:rPr>
        <w:t xml:space="preserve">) com os </w:t>
      </w:r>
      <w:proofErr w:type="spellStart"/>
      <w:r w:rsidRPr="00B322B9">
        <w:rPr>
          <w:sz w:val="23"/>
          <w:szCs w:val="23"/>
        </w:rPr>
        <w:t>extraorçamentários</w:t>
      </w:r>
      <w:proofErr w:type="spellEnd"/>
      <w:r w:rsidRPr="00B322B9">
        <w:rPr>
          <w:sz w:val="23"/>
          <w:szCs w:val="23"/>
        </w:rPr>
        <w:t xml:space="preserve"> (R$ </w:t>
      </w:r>
      <w:r w:rsidRPr="001C5438">
        <w:rPr>
          <w:sz w:val="23"/>
          <w:szCs w:val="23"/>
        </w:rPr>
        <w:t>686.752,77</w:t>
      </w:r>
      <w:r w:rsidRPr="00B322B9">
        <w:rPr>
          <w:sz w:val="23"/>
          <w:szCs w:val="23"/>
        </w:rPr>
        <w:t>) que foi de R$ 2.4</w:t>
      </w:r>
      <w:r>
        <w:rPr>
          <w:sz w:val="23"/>
          <w:szCs w:val="23"/>
        </w:rPr>
        <w:t>39.787,07</w:t>
      </w:r>
      <w:r w:rsidRPr="00B322B9">
        <w:rPr>
          <w:sz w:val="23"/>
          <w:szCs w:val="23"/>
        </w:rPr>
        <w:t xml:space="preserve"> e dos dispêndios orçamentários (R$ </w:t>
      </w:r>
      <w:r>
        <w:t>1.466.558,63</w:t>
      </w:r>
      <w:r w:rsidRPr="00B322B9">
        <w:rPr>
          <w:sz w:val="23"/>
          <w:szCs w:val="23"/>
        </w:rPr>
        <w:t xml:space="preserve">) e </w:t>
      </w:r>
      <w:proofErr w:type="spellStart"/>
      <w:r w:rsidRPr="00B322B9">
        <w:rPr>
          <w:sz w:val="23"/>
          <w:szCs w:val="23"/>
        </w:rPr>
        <w:t>extraorçamentários</w:t>
      </w:r>
      <w:proofErr w:type="spellEnd"/>
      <w:r w:rsidRPr="00B322B9">
        <w:rPr>
          <w:sz w:val="23"/>
          <w:szCs w:val="23"/>
        </w:rPr>
        <w:t xml:space="preserve"> (R$ </w:t>
      </w:r>
      <w:r>
        <w:t>681.298,88</w:t>
      </w:r>
      <w:r w:rsidRPr="00B322B9">
        <w:rPr>
          <w:sz w:val="23"/>
          <w:szCs w:val="23"/>
        </w:rPr>
        <w:t>) que foi de R$ 2.</w:t>
      </w:r>
      <w:r>
        <w:rPr>
          <w:sz w:val="23"/>
          <w:szCs w:val="23"/>
        </w:rPr>
        <w:t>147.857,51</w:t>
      </w:r>
      <w:r w:rsidRPr="00B322B9">
        <w:rPr>
          <w:sz w:val="23"/>
          <w:szCs w:val="23"/>
        </w:rPr>
        <w:t xml:space="preserve">, apresentando um resultado </w:t>
      </w:r>
      <w:r>
        <w:rPr>
          <w:sz w:val="23"/>
          <w:szCs w:val="23"/>
        </w:rPr>
        <w:t>positivo</w:t>
      </w:r>
      <w:r w:rsidRPr="00B322B9">
        <w:rPr>
          <w:sz w:val="23"/>
          <w:szCs w:val="23"/>
        </w:rPr>
        <w:t xml:space="preserve"> de R$ </w:t>
      </w:r>
      <w:r>
        <w:rPr>
          <w:sz w:val="23"/>
          <w:szCs w:val="23"/>
        </w:rPr>
        <w:t>291.929,56</w:t>
      </w:r>
      <w:r w:rsidRPr="00B322B9">
        <w:rPr>
          <w:sz w:val="23"/>
          <w:szCs w:val="23"/>
        </w:rPr>
        <w:t xml:space="preserve">.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Default="00623048" w:rsidP="00623048">
      <w:pPr>
        <w:pStyle w:val="Default"/>
        <w:jc w:val="both"/>
        <w:rPr>
          <w:b/>
          <w:bCs/>
          <w:sz w:val="23"/>
          <w:szCs w:val="23"/>
        </w:rPr>
      </w:pPr>
    </w:p>
    <w:p w:rsidR="00D81B4C" w:rsidRDefault="00D81B4C" w:rsidP="00623048">
      <w:pPr>
        <w:pStyle w:val="Default"/>
        <w:jc w:val="both"/>
        <w:rPr>
          <w:b/>
          <w:bCs/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IV</w:t>
      </w:r>
      <w:r w:rsidRPr="00B322B9">
        <w:rPr>
          <w:b/>
          <w:bCs/>
          <w:sz w:val="23"/>
          <w:szCs w:val="23"/>
        </w:rPr>
        <w:t xml:space="preserve"> – Demonstração das Variações Patrimoniais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A Demonstração das Variações Patrimoniais – DVP evidencia as variações quantitativas, o resultado patrimonial e as variações qualitativas decorrentes da execução orçamentária.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 xml:space="preserve">As variações quantitativas são decorrentes de transações no setor público que aumentam ou diminuem o patrimônio líquido, e as variações qualitativas são decorrentes de transações no setor público que alteram a composição dos elementos patrimoniais sem afetar o patrimônio líquido. O resultado patrimonial do período é apurado pelo confronto entre as variações quantitativas aumentativas e diminutivas. 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>A DVP do exercício de 201</w:t>
      </w:r>
      <w:r>
        <w:rPr>
          <w:sz w:val="23"/>
          <w:szCs w:val="23"/>
        </w:rPr>
        <w:t>7</w:t>
      </w:r>
      <w:r w:rsidRPr="00B322B9">
        <w:rPr>
          <w:sz w:val="23"/>
          <w:szCs w:val="23"/>
        </w:rPr>
        <w:t xml:space="preserve"> apresentou o total das variações quantitativas aumentativas de R$ </w:t>
      </w:r>
      <w:r>
        <w:t xml:space="preserve">2.647.800,28 </w:t>
      </w:r>
      <w:r w:rsidRPr="00B322B9">
        <w:rPr>
          <w:sz w:val="23"/>
          <w:szCs w:val="23"/>
        </w:rPr>
        <w:t xml:space="preserve">e o total das variações quantitativas diminutivas de R$ </w:t>
      </w:r>
      <w:r>
        <w:t>2.274.129,04</w:t>
      </w:r>
      <w:r w:rsidRPr="00B322B9">
        <w:rPr>
          <w:sz w:val="23"/>
          <w:szCs w:val="23"/>
        </w:rPr>
        <w:t xml:space="preserve">, gerando um Superávit no resultado patrimonial do período de R$ </w:t>
      </w:r>
      <w:r>
        <w:t>373.671,24</w:t>
      </w:r>
      <w:r w:rsidRPr="00B322B9">
        <w:rPr>
          <w:sz w:val="23"/>
          <w:szCs w:val="23"/>
        </w:rPr>
        <w:t>.</w:t>
      </w: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</w:p>
    <w:p w:rsidR="00623048" w:rsidRPr="00B322B9" w:rsidRDefault="00623048" w:rsidP="00623048">
      <w:pPr>
        <w:pStyle w:val="Default"/>
        <w:jc w:val="both"/>
        <w:rPr>
          <w:sz w:val="23"/>
          <w:szCs w:val="23"/>
        </w:rPr>
      </w:pPr>
      <w:r w:rsidRPr="00B322B9">
        <w:rPr>
          <w:b/>
          <w:bCs/>
          <w:sz w:val="23"/>
          <w:szCs w:val="23"/>
        </w:rPr>
        <w:t xml:space="preserve">V – Demonstração dos Fluxos de Caixa </w:t>
      </w:r>
    </w:p>
    <w:p w:rsidR="00D378BE" w:rsidRDefault="00623048" w:rsidP="008540F5">
      <w:pPr>
        <w:pStyle w:val="Default"/>
        <w:jc w:val="both"/>
        <w:rPr>
          <w:rFonts w:ascii="Times New Roman" w:hAnsi="Times New Roman"/>
          <w:sz w:val="20"/>
          <w:szCs w:val="20"/>
        </w:rPr>
      </w:pPr>
      <w:r w:rsidRPr="00B322B9">
        <w:rPr>
          <w:sz w:val="23"/>
          <w:szCs w:val="23"/>
        </w:rPr>
        <w:t xml:space="preserve">A Demonstração dos Fluxos de Caixa evidencia as movimentações havidas no caixa e seus equivalentes nos fluxos das operações, dos investimentos e dos financiamentos. </w:t>
      </w:r>
    </w:p>
    <w:p w:rsidR="008A36EC" w:rsidRPr="00B322B9" w:rsidRDefault="008A36EC" w:rsidP="008A36EC">
      <w:pPr>
        <w:pStyle w:val="Default"/>
        <w:jc w:val="both"/>
        <w:rPr>
          <w:sz w:val="23"/>
          <w:szCs w:val="23"/>
        </w:rPr>
      </w:pPr>
      <w:r w:rsidRPr="00B322B9">
        <w:rPr>
          <w:sz w:val="23"/>
          <w:szCs w:val="23"/>
        </w:rPr>
        <w:t>A Geração líquida de caixa e equivalentes de caixa do exercício de 201</w:t>
      </w:r>
      <w:r>
        <w:rPr>
          <w:sz w:val="23"/>
          <w:szCs w:val="23"/>
        </w:rPr>
        <w:t>7</w:t>
      </w:r>
      <w:r w:rsidRPr="00B322B9">
        <w:rPr>
          <w:sz w:val="23"/>
          <w:szCs w:val="23"/>
        </w:rPr>
        <w:t xml:space="preserve"> foi de R$ </w:t>
      </w:r>
      <w:r>
        <w:t>341.762,18</w:t>
      </w:r>
      <w:r w:rsidRPr="00B322B9">
        <w:rPr>
          <w:sz w:val="23"/>
          <w:szCs w:val="23"/>
        </w:rPr>
        <w:t xml:space="preserve">, apurada através do Fluxo de caixa líquido das atividades das operações de R$ </w:t>
      </w:r>
      <w:r>
        <w:t xml:space="preserve">341.762,18, </w:t>
      </w:r>
      <w:r w:rsidRPr="00B322B9">
        <w:rPr>
          <w:sz w:val="23"/>
          <w:szCs w:val="23"/>
        </w:rPr>
        <w:t xml:space="preserve">do Fluxo de caixa líquido das atividades de </w:t>
      </w:r>
      <w:r>
        <w:rPr>
          <w:sz w:val="23"/>
          <w:szCs w:val="23"/>
        </w:rPr>
        <w:t xml:space="preserve">investimento </w:t>
      </w:r>
      <w:r w:rsidRPr="00B322B9">
        <w:rPr>
          <w:sz w:val="23"/>
          <w:szCs w:val="23"/>
        </w:rPr>
        <w:t>de R$ 0,00</w:t>
      </w:r>
      <w:r>
        <w:rPr>
          <w:sz w:val="23"/>
          <w:szCs w:val="23"/>
        </w:rPr>
        <w:t xml:space="preserve"> e do </w:t>
      </w:r>
      <w:r w:rsidRPr="00B322B9">
        <w:rPr>
          <w:sz w:val="23"/>
          <w:szCs w:val="23"/>
        </w:rPr>
        <w:t>Fluxo de</w:t>
      </w:r>
      <w:r>
        <w:rPr>
          <w:sz w:val="23"/>
          <w:szCs w:val="23"/>
        </w:rPr>
        <w:t xml:space="preserve"> caixa líquido das atividades de Financiamento de R$ 0,00</w:t>
      </w:r>
      <w:r w:rsidRPr="00B322B9">
        <w:rPr>
          <w:sz w:val="23"/>
          <w:szCs w:val="23"/>
        </w:rPr>
        <w:t>.</w:t>
      </w:r>
    </w:p>
    <w:p w:rsidR="008A36EC" w:rsidRPr="00B322B9" w:rsidRDefault="008A36EC" w:rsidP="008A36EC">
      <w:pPr>
        <w:pStyle w:val="Default"/>
        <w:jc w:val="both"/>
        <w:rPr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b/>
          <w:color w:val="auto"/>
          <w:sz w:val="23"/>
          <w:szCs w:val="23"/>
        </w:rPr>
      </w:pPr>
      <w:r w:rsidRPr="003713E7">
        <w:rPr>
          <w:b/>
          <w:color w:val="auto"/>
          <w:sz w:val="23"/>
          <w:szCs w:val="23"/>
        </w:rPr>
        <w:t xml:space="preserve">2.4. </w:t>
      </w:r>
      <w:r>
        <w:rPr>
          <w:b/>
          <w:color w:val="auto"/>
          <w:sz w:val="23"/>
          <w:szCs w:val="23"/>
        </w:rPr>
        <w:t>Notas Adicionais.</w:t>
      </w:r>
    </w:p>
    <w:p w:rsidR="008A36EC" w:rsidRDefault="008A36EC" w:rsidP="008A36EC">
      <w:pPr>
        <w:pStyle w:val="Default"/>
        <w:jc w:val="both"/>
        <w:rPr>
          <w:b/>
          <w:color w:val="auto"/>
          <w:sz w:val="23"/>
          <w:szCs w:val="23"/>
        </w:rPr>
      </w:pPr>
    </w:p>
    <w:p w:rsidR="0079648B" w:rsidRDefault="008A36EC" w:rsidP="0079648B">
      <w:pPr>
        <w:pStyle w:val="Default"/>
        <w:jc w:val="both"/>
        <w:rPr>
          <w:color w:val="auto"/>
          <w:sz w:val="23"/>
          <w:szCs w:val="23"/>
        </w:rPr>
      </w:pPr>
      <w:r w:rsidRPr="00BD6D66">
        <w:rPr>
          <w:color w:val="auto"/>
          <w:sz w:val="23"/>
          <w:szCs w:val="23"/>
        </w:rPr>
        <w:t>I – No ano de 2017 houve pe</w:t>
      </w:r>
      <w:r>
        <w:rPr>
          <w:color w:val="auto"/>
          <w:sz w:val="23"/>
          <w:szCs w:val="23"/>
        </w:rPr>
        <w:t>rda de arrecadação de anuidades</w:t>
      </w:r>
      <w:r w:rsidRPr="00BD6D66">
        <w:rPr>
          <w:color w:val="auto"/>
          <w:sz w:val="23"/>
          <w:szCs w:val="23"/>
        </w:rPr>
        <w:t xml:space="preserve"> por prescrição de cobrança </w:t>
      </w:r>
      <w:r>
        <w:rPr>
          <w:color w:val="auto"/>
          <w:sz w:val="23"/>
          <w:szCs w:val="23"/>
        </w:rPr>
        <w:t>de pessoas físicas no valor de R$ 23.250,00 e jurídicas no valor de R$ 3.838,85, com consequente baixa nos seus registros em obediência às instruções contidas nos proce</w:t>
      </w:r>
      <w:r w:rsidR="0079648B">
        <w:rPr>
          <w:color w:val="auto"/>
          <w:sz w:val="23"/>
          <w:szCs w:val="23"/>
        </w:rPr>
        <w:t>ssos correspondentes,</w:t>
      </w:r>
      <w:r w:rsidR="00E15430">
        <w:rPr>
          <w:color w:val="auto"/>
          <w:sz w:val="23"/>
          <w:szCs w:val="23"/>
        </w:rPr>
        <w:t xml:space="preserve"> </w:t>
      </w:r>
      <w:r w:rsidR="0079648B">
        <w:rPr>
          <w:color w:val="auto"/>
          <w:sz w:val="23"/>
          <w:szCs w:val="23"/>
        </w:rPr>
        <w:t>conforme orientação da assessoria jurídica</w:t>
      </w:r>
      <w:r w:rsidR="0079648B">
        <w:rPr>
          <w:color w:val="auto"/>
          <w:sz w:val="23"/>
          <w:szCs w:val="23"/>
        </w:rPr>
        <w:t xml:space="preserve">, aprovado em plenária.  </w:t>
      </w: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II – Em agosto de 2017 houve o início das operações da loja deste Conselho, a</w:t>
      </w:r>
      <w:proofErr w:type="gramStart"/>
      <w:r>
        <w:rPr>
          <w:color w:val="auto"/>
          <w:sz w:val="23"/>
          <w:szCs w:val="23"/>
        </w:rPr>
        <w:t xml:space="preserve">  </w:t>
      </w:r>
      <w:proofErr w:type="gramEnd"/>
      <w:r>
        <w:rPr>
          <w:color w:val="auto"/>
          <w:sz w:val="23"/>
          <w:szCs w:val="23"/>
        </w:rPr>
        <w:t xml:space="preserve">CRP </w:t>
      </w:r>
      <w:proofErr w:type="spellStart"/>
      <w:r>
        <w:rPr>
          <w:color w:val="auto"/>
          <w:sz w:val="23"/>
          <w:szCs w:val="23"/>
        </w:rPr>
        <w:t>Store</w:t>
      </w:r>
      <w:proofErr w:type="spellEnd"/>
      <w:r>
        <w:rPr>
          <w:color w:val="auto"/>
          <w:sz w:val="23"/>
          <w:szCs w:val="23"/>
        </w:rPr>
        <w:t>. Em virtude do ocorrido e para evidenciação das</w:t>
      </w:r>
      <w:proofErr w:type="gramStart"/>
      <w:r>
        <w:rPr>
          <w:color w:val="auto"/>
          <w:sz w:val="23"/>
          <w:szCs w:val="23"/>
        </w:rPr>
        <w:t xml:space="preserve">  </w:t>
      </w:r>
      <w:proofErr w:type="gramEnd"/>
      <w:r>
        <w:rPr>
          <w:color w:val="auto"/>
          <w:sz w:val="23"/>
          <w:szCs w:val="23"/>
        </w:rPr>
        <w:t xml:space="preserve">suas movimentações,  foi criada a conta homônima com o registro das aquisições no valor de R$ </w:t>
      </w:r>
      <w:r w:rsidRPr="00030D0A">
        <w:rPr>
          <w:color w:val="auto"/>
          <w:sz w:val="23"/>
          <w:szCs w:val="23"/>
        </w:rPr>
        <w:t>5</w:t>
      </w:r>
      <w:r>
        <w:rPr>
          <w:color w:val="auto"/>
          <w:sz w:val="23"/>
          <w:szCs w:val="23"/>
        </w:rPr>
        <w:t>.</w:t>
      </w:r>
      <w:r w:rsidRPr="00030D0A">
        <w:rPr>
          <w:color w:val="auto"/>
          <w:sz w:val="23"/>
          <w:szCs w:val="23"/>
        </w:rPr>
        <w:t>176</w:t>
      </w:r>
      <w:r>
        <w:rPr>
          <w:color w:val="auto"/>
          <w:sz w:val="23"/>
          <w:szCs w:val="23"/>
        </w:rPr>
        <w:t xml:space="preserve">,00  e saída no valor de R$ </w:t>
      </w:r>
      <w:r w:rsidRPr="00030D0A">
        <w:rPr>
          <w:color w:val="auto"/>
          <w:sz w:val="23"/>
          <w:szCs w:val="23"/>
        </w:rPr>
        <w:t>996,70</w:t>
      </w:r>
      <w:r>
        <w:rPr>
          <w:color w:val="auto"/>
          <w:sz w:val="23"/>
          <w:szCs w:val="23"/>
        </w:rPr>
        <w:t xml:space="preserve">, este encontrado através do cálculo do CPV ou CMV ( CPV = Estoque Inicial + Compras – Estoque Final), com saldo remanescente de R$ </w:t>
      </w:r>
      <w:r w:rsidRPr="00B41E45">
        <w:rPr>
          <w:color w:val="auto"/>
          <w:sz w:val="23"/>
          <w:szCs w:val="23"/>
        </w:rPr>
        <w:t>4</w:t>
      </w:r>
      <w:r>
        <w:rPr>
          <w:color w:val="auto"/>
          <w:sz w:val="23"/>
          <w:szCs w:val="23"/>
        </w:rPr>
        <w:t>.</w:t>
      </w:r>
      <w:r w:rsidRPr="00B41E45">
        <w:rPr>
          <w:color w:val="auto"/>
          <w:sz w:val="23"/>
          <w:szCs w:val="23"/>
        </w:rPr>
        <w:t>179,30</w:t>
      </w:r>
      <w:r>
        <w:rPr>
          <w:color w:val="auto"/>
          <w:sz w:val="23"/>
          <w:szCs w:val="23"/>
        </w:rPr>
        <w:t>. Destaca-se ainda, as receitas desta loja no valor de R$ 1.</w:t>
      </w:r>
      <w:r w:rsidR="002A0EFF">
        <w:rPr>
          <w:color w:val="auto"/>
          <w:sz w:val="23"/>
          <w:szCs w:val="23"/>
        </w:rPr>
        <w:t>181,00</w:t>
      </w:r>
      <w:r>
        <w:rPr>
          <w:color w:val="auto"/>
          <w:sz w:val="23"/>
          <w:szCs w:val="23"/>
        </w:rPr>
        <w:t>.</w:t>
      </w: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540F5" w:rsidRDefault="008540F5" w:rsidP="008A36EC">
      <w:pPr>
        <w:pStyle w:val="Default"/>
        <w:jc w:val="both"/>
        <w:rPr>
          <w:color w:val="auto"/>
          <w:sz w:val="23"/>
          <w:szCs w:val="23"/>
        </w:rPr>
      </w:pPr>
    </w:p>
    <w:p w:rsidR="008540F5" w:rsidRDefault="008540F5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III – No período mencionado acima, houve a criação da conta Mercado Pago em decorrência da adoção do uso de cartões para o recebimento das vendas do CRP </w:t>
      </w:r>
      <w:proofErr w:type="spellStart"/>
      <w:r>
        <w:rPr>
          <w:color w:val="auto"/>
          <w:sz w:val="23"/>
          <w:szCs w:val="23"/>
        </w:rPr>
        <w:t>Store</w:t>
      </w:r>
      <w:proofErr w:type="spellEnd"/>
      <w:r>
        <w:rPr>
          <w:color w:val="auto"/>
          <w:sz w:val="23"/>
          <w:szCs w:val="23"/>
        </w:rPr>
        <w:t>, anuidades, certidões, entre outras transações geradoras e características das fontes de receita deste CRP 10.</w:t>
      </w: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CD1817" w:rsidRDefault="008A36EC" w:rsidP="008A36EC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IV – Em decorrência de um problema de parametrização entre a Implanta Informática (desenvolvedora e gestora do sistema informatizado de registro das receitas, utilizado por este CRP 10) e o banco do Brasil S.A., no período de agosto a setembro de 2017, ocorreu a geração de informações de receitas sem a identificação de suas origens o que levou a adoção da conta Outras Receitas Diversas para os seus respectivos</w:t>
      </w:r>
      <w:proofErr w:type="gramStart"/>
      <w:r>
        <w:rPr>
          <w:color w:val="auto"/>
          <w:sz w:val="23"/>
          <w:szCs w:val="23"/>
        </w:rPr>
        <w:t xml:space="preserve">  </w:t>
      </w:r>
      <w:proofErr w:type="gramEnd"/>
      <w:r w:rsidR="00511F41">
        <w:rPr>
          <w:color w:val="auto"/>
          <w:sz w:val="23"/>
          <w:szCs w:val="23"/>
        </w:rPr>
        <w:t>lançamentos. Verifica-se</w:t>
      </w:r>
      <w:r>
        <w:rPr>
          <w:color w:val="auto"/>
          <w:sz w:val="23"/>
          <w:szCs w:val="23"/>
        </w:rPr>
        <w:t xml:space="preserve"> a utilização desta</w:t>
      </w:r>
      <w:proofErr w:type="gramStart"/>
      <w:r>
        <w:rPr>
          <w:color w:val="auto"/>
          <w:sz w:val="23"/>
          <w:szCs w:val="23"/>
        </w:rPr>
        <w:t xml:space="preserve"> </w:t>
      </w:r>
      <w:r w:rsidR="00C95539">
        <w:rPr>
          <w:color w:val="auto"/>
          <w:sz w:val="23"/>
          <w:szCs w:val="23"/>
        </w:rPr>
        <w:t xml:space="preserve"> </w:t>
      </w:r>
      <w:proofErr w:type="gramEnd"/>
      <w:r w:rsidR="00C95539">
        <w:rPr>
          <w:color w:val="auto"/>
          <w:sz w:val="23"/>
          <w:szCs w:val="23"/>
        </w:rPr>
        <w:t xml:space="preserve">mesma </w:t>
      </w:r>
      <w:r>
        <w:rPr>
          <w:color w:val="auto"/>
          <w:sz w:val="23"/>
          <w:szCs w:val="23"/>
        </w:rPr>
        <w:t xml:space="preserve">conta em 02/01, 08/02 e 18/05 de 2017 em face de receitas com origens, também, desconhecidas. Outro ponto a ser destacado em relação às receitas, nos meses de setembro a dezembro, foi </w:t>
      </w:r>
      <w:proofErr w:type="gramStart"/>
      <w:r>
        <w:rPr>
          <w:color w:val="auto"/>
          <w:sz w:val="23"/>
          <w:szCs w:val="23"/>
        </w:rPr>
        <w:t>a</w:t>
      </w:r>
      <w:proofErr w:type="gramEnd"/>
      <w:r>
        <w:rPr>
          <w:color w:val="auto"/>
          <w:sz w:val="23"/>
          <w:szCs w:val="23"/>
        </w:rPr>
        <w:t xml:space="preserve"> geração dos</w:t>
      </w:r>
      <w:r w:rsidR="00982E95">
        <w:rPr>
          <w:color w:val="auto"/>
          <w:sz w:val="23"/>
          <w:szCs w:val="23"/>
        </w:rPr>
        <w:t xml:space="preserve"> seus</w:t>
      </w:r>
      <w:r>
        <w:rPr>
          <w:color w:val="auto"/>
          <w:sz w:val="23"/>
          <w:szCs w:val="23"/>
        </w:rPr>
        <w:t xml:space="preserve"> relatórios </w:t>
      </w:r>
      <w:r w:rsidR="002E0758">
        <w:rPr>
          <w:color w:val="auto"/>
          <w:sz w:val="23"/>
          <w:szCs w:val="23"/>
        </w:rPr>
        <w:t>considerando todo</w:t>
      </w:r>
      <w:r>
        <w:rPr>
          <w:color w:val="auto"/>
          <w:sz w:val="23"/>
          <w:szCs w:val="23"/>
        </w:rPr>
        <w:t>s</w:t>
      </w:r>
      <w:r w:rsidR="00E344CE">
        <w:rPr>
          <w:color w:val="auto"/>
          <w:sz w:val="23"/>
          <w:szCs w:val="23"/>
        </w:rPr>
        <w:t xml:space="preserve"> os</w:t>
      </w:r>
      <w:r>
        <w:rPr>
          <w:color w:val="auto"/>
          <w:sz w:val="23"/>
          <w:szCs w:val="23"/>
        </w:rPr>
        <w:t xml:space="preserve"> </w:t>
      </w:r>
      <w:r w:rsidR="00900AE5">
        <w:rPr>
          <w:color w:val="auto"/>
          <w:sz w:val="23"/>
          <w:szCs w:val="23"/>
        </w:rPr>
        <w:t>recebimentos</w:t>
      </w:r>
      <w:r w:rsidR="00E344CE">
        <w:rPr>
          <w:color w:val="auto"/>
          <w:sz w:val="23"/>
          <w:szCs w:val="23"/>
        </w:rPr>
        <w:t xml:space="preserve"> (referentes a </w:t>
      </w:r>
      <w:r>
        <w:rPr>
          <w:color w:val="auto"/>
          <w:sz w:val="23"/>
          <w:szCs w:val="23"/>
        </w:rPr>
        <w:t>anuidades, taxa</w:t>
      </w:r>
      <w:r w:rsidR="00E344CE">
        <w:rPr>
          <w:color w:val="auto"/>
          <w:sz w:val="23"/>
          <w:szCs w:val="23"/>
        </w:rPr>
        <w:t>s, carteiras e</w:t>
      </w:r>
      <w:r>
        <w:rPr>
          <w:color w:val="auto"/>
          <w:sz w:val="23"/>
          <w:szCs w:val="23"/>
        </w:rPr>
        <w:t xml:space="preserve"> emissão de certidões</w:t>
      </w:r>
      <w:r w:rsidR="00E344CE">
        <w:rPr>
          <w:color w:val="auto"/>
          <w:sz w:val="23"/>
          <w:szCs w:val="23"/>
        </w:rPr>
        <w:t xml:space="preserve">) </w:t>
      </w:r>
      <w:r>
        <w:rPr>
          <w:color w:val="auto"/>
          <w:sz w:val="23"/>
          <w:szCs w:val="23"/>
        </w:rPr>
        <w:t xml:space="preserve">como de exercícios anteriores, </w:t>
      </w:r>
      <w:r w:rsidR="00135BDA">
        <w:rPr>
          <w:color w:val="auto"/>
          <w:sz w:val="23"/>
          <w:szCs w:val="23"/>
        </w:rPr>
        <w:t>sendo assim registradas</w:t>
      </w:r>
      <w:r w:rsidR="00C95539">
        <w:rPr>
          <w:color w:val="auto"/>
          <w:sz w:val="23"/>
          <w:szCs w:val="23"/>
        </w:rPr>
        <w:t xml:space="preserve"> nos sistemas contábil e orçamentário</w:t>
      </w:r>
      <w:r w:rsidR="00135BDA">
        <w:rPr>
          <w:color w:val="auto"/>
          <w:sz w:val="23"/>
          <w:szCs w:val="23"/>
        </w:rPr>
        <w:t>.</w:t>
      </w:r>
    </w:p>
    <w:p w:rsidR="00135BDA" w:rsidRDefault="00135BDA" w:rsidP="008A36EC">
      <w:pPr>
        <w:pStyle w:val="Default"/>
        <w:jc w:val="both"/>
        <w:rPr>
          <w:color w:val="auto"/>
          <w:sz w:val="23"/>
          <w:szCs w:val="23"/>
        </w:rPr>
      </w:pPr>
    </w:p>
    <w:p w:rsidR="00915FF3" w:rsidRDefault="008A36EC" w:rsidP="00915FF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V –</w:t>
      </w:r>
      <w:r w:rsidR="00956659">
        <w:rPr>
          <w:color w:val="auto"/>
          <w:sz w:val="23"/>
          <w:szCs w:val="23"/>
        </w:rPr>
        <w:t xml:space="preserve"> No caso da prestação de contas</w:t>
      </w:r>
      <w:r>
        <w:rPr>
          <w:color w:val="auto"/>
          <w:sz w:val="23"/>
          <w:szCs w:val="23"/>
        </w:rPr>
        <w:t xml:space="preserve"> referente aos suprimentos de fundos da seção Amapá,</w:t>
      </w:r>
      <w:r w:rsidR="00915FF3">
        <w:rPr>
          <w:color w:val="auto"/>
          <w:sz w:val="23"/>
          <w:szCs w:val="23"/>
        </w:rPr>
        <w:t xml:space="preserve"> foram realizados os devidos registros</w:t>
      </w:r>
      <w:proofErr w:type="gramStart"/>
      <w:r w:rsidR="00915FF3">
        <w:rPr>
          <w:color w:val="auto"/>
          <w:sz w:val="23"/>
          <w:szCs w:val="23"/>
        </w:rPr>
        <w:t xml:space="preserve"> por</w:t>
      </w:r>
      <w:r w:rsidR="00CF7088">
        <w:rPr>
          <w:color w:val="auto"/>
          <w:sz w:val="23"/>
          <w:szCs w:val="23"/>
        </w:rPr>
        <w:t>ém</w:t>
      </w:r>
      <w:proofErr w:type="gramEnd"/>
      <w:r w:rsidR="00CF7088">
        <w:rPr>
          <w:color w:val="auto"/>
          <w:sz w:val="23"/>
          <w:szCs w:val="23"/>
        </w:rPr>
        <w:t>,</w:t>
      </w:r>
      <w:r w:rsidR="008211B9">
        <w:rPr>
          <w:color w:val="auto"/>
          <w:sz w:val="23"/>
          <w:szCs w:val="23"/>
        </w:rPr>
        <w:t xml:space="preserve"> faz-se a ressalva </w:t>
      </w:r>
      <w:r w:rsidR="00773C2A">
        <w:rPr>
          <w:color w:val="auto"/>
          <w:sz w:val="23"/>
          <w:szCs w:val="23"/>
        </w:rPr>
        <w:t xml:space="preserve"> aos documentos da Relação de Despesas Realizadas</w:t>
      </w:r>
      <w:r w:rsidR="004E78D0">
        <w:rPr>
          <w:color w:val="auto"/>
          <w:sz w:val="23"/>
          <w:szCs w:val="23"/>
        </w:rPr>
        <w:t xml:space="preserve"> ( tabelas de prestação de fevereiro e março) apresentarem informações com períodos divergentes das solicitações ( de 13 de janeiro – solicitação nº 02</w:t>
      </w:r>
      <w:r w:rsidR="008211B9">
        <w:rPr>
          <w:color w:val="auto"/>
          <w:sz w:val="23"/>
          <w:szCs w:val="23"/>
        </w:rPr>
        <w:t xml:space="preserve"> </w:t>
      </w:r>
      <w:r w:rsidR="004E78D0">
        <w:rPr>
          <w:color w:val="auto"/>
          <w:sz w:val="23"/>
          <w:szCs w:val="23"/>
        </w:rPr>
        <w:t xml:space="preserve">e 24 de março – solicitação </w:t>
      </w:r>
      <w:r w:rsidR="008211B9">
        <w:rPr>
          <w:color w:val="auto"/>
          <w:sz w:val="23"/>
          <w:szCs w:val="23"/>
        </w:rPr>
        <w:t>nº 03</w:t>
      </w:r>
      <w:r w:rsidR="004E78D0">
        <w:rPr>
          <w:color w:val="auto"/>
          <w:sz w:val="23"/>
          <w:szCs w:val="23"/>
        </w:rPr>
        <w:t>)</w:t>
      </w:r>
      <w:r w:rsidR="00CF7088">
        <w:rPr>
          <w:color w:val="auto"/>
          <w:sz w:val="23"/>
          <w:szCs w:val="23"/>
        </w:rPr>
        <w:t>.</w:t>
      </w:r>
      <w:r w:rsidR="004E78D0">
        <w:rPr>
          <w:color w:val="auto"/>
          <w:sz w:val="23"/>
          <w:szCs w:val="23"/>
        </w:rPr>
        <w:t xml:space="preserve"> </w:t>
      </w:r>
      <w:r w:rsidR="00915FF3">
        <w:rPr>
          <w:color w:val="auto"/>
          <w:sz w:val="23"/>
          <w:szCs w:val="23"/>
        </w:rPr>
        <w:t>Medidas de mudança de critérios e procedimentos já foram orientadas para</w:t>
      </w:r>
      <w:proofErr w:type="gramStart"/>
      <w:r w:rsidR="00CF7088">
        <w:rPr>
          <w:color w:val="auto"/>
          <w:sz w:val="23"/>
          <w:szCs w:val="23"/>
        </w:rPr>
        <w:t xml:space="preserve"> </w:t>
      </w:r>
      <w:r w:rsidR="00915FF3">
        <w:rPr>
          <w:color w:val="auto"/>
          <w:sz w:val="23"/>
          <w:szCs w:val="23"/>
        </w:rPr>
        <w:t xml:space="preserve"> </w:t>
      </w:r>
      <w:proofErr w:type="gramEnd"/>
      <w:r w:rsidR="00915FF3">
        <w:rPr>
          <w:color w:val="auto"/>
          <w:sz w:val="23"/>
          <w:szCs w:val="23"/>
        </w:rPr>
        <w:t>implementação</w:t>
      </w:r>
      <w:r w:rsidR="00CF7088">
        <w:rPr>
          <w:color w:val="auto"/>
          <w:sz w:val="23"/>
          <w:szCs w:val="23"/>
        </w:rPr>
        <w:t>,</w:t>
      </w:r>
      <w:r w:rsidR="00915FF3">
        <w:rPr>
          <w:color w:val="auto"/>
          <w:sz w:val="23"/>
          <w:szCs w:val="23"/>
        </w:rPr>
        <w:t xml:space="preserve"> com intuito de ajuste dessas prestações e melhoria do controle interno.</w:t>
      </w:r>
    </w:p>
    <w:p w:rsidR="008A36EC" w:rsidRPr="00B322B9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Pr="00B322B9" w:rsidRDefault="008A36EC" w:rsidP="008A36EC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b/>
          <w:bCs/>
          <w:color w:val="auto"/>
          <w:sz w:val="23"/>
          <w:szCs w:val="23"/>
        </w:rPr>
        <w:t xml:space="preserve">3. CONSIDERAÇÕES FINAIS </w:t>
      </w:r>
    </w:p>
    <w:p w:rsidR="008A36EC" w:rsidRPr="00B322B9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8A36EC" w:rsidRPr="00B322B9" w:rsidRDefault="008A36EC" w:rsidP="008A36EC">
      <w:pPr>
        <w:pStyle w:val="Default"/>
        <w:jc w:val="both"/>
        <w:rPr>
          <w:color w:val="auto"/>
          <w:sz w:val="23"/>
          <w:szCs w:val="23"/>
        </w:rPr>
      </w:pPr>
      <w:r w:rsidRPr="00B322B9">
        <w:rPr>
          <w:color w:val="auto"/>
          <w:sz w:val="23"/>
          <w:szCs w:val="23"/>
        </w:rPr>
        <w:t xml:space="preserve">As Demonstrações Contábeis encerradas em 31/12/2017 e a Prestação de Contas do exercício de 2017 serão aprovadas pelo Plenário do CRP10 e enviadas ao CFP para apreciação e julgamento. </w:t>
      </w:r>
    </w:p>
    <w:p w:rsidR="008A36EC" w:rsidRDefault="008A36EC" w:rsidP="008A36EC">
      <w:pPr>
        <w:pStyle w:val="Default"/>
        <w:jc w:val="both"/>
        <w:rPr>
          <w:color w:val="auto"/>
          <w:sz w:val="23"/>
          <w:szCs w:val="23"/>
        </w:rPr>
      </w:pPr>
    </w:p>
    <w:p w:rsidR="00D378BE" w:rsidRDefault="00D378BE" w:rsidP="00F63AB8">
      <w:pP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540F5" w:rsidRDefault="008540F5" w:rsidP="00F63AB8">
      <w:pP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Luiz Romano da Motta Araújo Neto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Presidente do CRP10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147.328.902-53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bookmarkStart w:id="0" w:name="_GoBack"/>
      <w:bookmarkEnd w:id="0"/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proofErr w:type="spellStart"/>
      <w:r w:rsidRPr="005E2E02">
        <w:rPr>
          <w:color w:val="auto"/>
          <w:sz w:val="23"/>
          <w:szCs w:val="23"/>
        </w:rPr>
        <w:t>Giane</w:t>
      </w:r>
      <w:proofErr w:type="spellEnd"/>
      <w:r w:rsidRPr="005E2E02">
        <w:rPr>
          <w:color w:val="auto"/>
          <w:sz w:val="23"/>
          <w:szCs w:val="23"/>
        </w:rPr>
        <w:t xml:space="preserve"> Silva Santos Souza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Tesoureira do CRP 10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281.082.562-91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Márcio Paulo da Silva Melo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color w:val="auto"/>
          <w:sz w:val="23"/>
          <w:szCs w:val="23"/>
        </w:rPr>
        <w:t xml:space="preserve">Contador </w:t>
      </w:r>
    </w:p>
    <w:p w:rsidR="008540F5" w:rsidRPr="005E2E02" w:rsidRDefault="008540F5" w:rsidP="008540F5">
      <w:pPr>
        <w:pStyle w:val="Default"/>
        <w:rPr>
          <w:color w:val="auto"/>
          <w:sz w:val="23"/>
          <w:szCs w:val="23"/>
        </w:rPr>
      </w:pPr>
      <w:r w:rsidRPr="005E2E02">
        <w:rPr>
          <w:sz w:val="23"/>
          <w:szCs w:val="23"/>
        </w:rPr>
        <w:t>PA-018844/O-8</w:t>
      </w:r>
    </w:p>
    <w:p w:rsidR="00367727" w:rsidRDefault="008540F5">
      <w:r w:rsidRPr="005E2E02">
        <w:rPr>
          <w:rFonts w:ascii="Arial" w:hAnsi="Arial" w:cs="Arial"/>
          <w:sz w:val="23"/>
          <w:szCs w:val="23"/>
        </w:rPr>
        <w:t>450.873.182-15</w:t>
      </w:r>
    </w:p>
    <w:sectPr w:rsidR="00367727" w:rsidSect="009F0DBD">
      <w:headerReference w:type="default" r:id="rId8"/>
      <w:footerReference w:type="default" r:id="rId9"/>
      <w:pgSz w:w="11906" w:h="16838"/>
      <w:pgMar w:top="12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607" w:rsidRDefault="00551607">
      <w:pPr>
        <w:spacing w:after="0" w:line="240" w:lineRule="auto"/>
      </w:pPr>
      <w:r>
        <w:separator/>
      </w:r>
    </w:p>
  </w:endnote>
  <w:endnote w:type="continuationSeparator" w:id="0">
    <w:p w:rsidR="00551607" w:rsidRDefault="0055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743" w:rsidRDefault="00703BF5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4A8FC" wp14:editId="405378E1">
              <wp:simplePos x="0" y="0"/>
              <wp:positionH relativeFrom="column">
                <wp:posOffset>-13335</wp:posOffset>
              </wp:positionH>
              <wp:positionV relativeFrom="paragraph">
                <wp:posOffset>-327660</wp:posOffset>
              </wp:positionV>
              <wp:extent cx="4490720" cy="810895"/>
              <wp:effectExtent l="0" t="0" r="0" b="825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0720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743" w:rsidRPr="00D209C5" w:rsidRDefault="00F63AB8" w:rsidP="009F0DBD">
                          <w:pPr>
                            <w:pStyle w:val="Rodap"/>
                            <w:tabs>
                              <w:tab w:val="clear" w:pos="8504"/>
                            </w:tabs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1F497D"/>
                              <w:sz w:val="16"/>
                              <w:szCs w:val="16"/>
                            </w:rPr>
                          </w:pPr>
                          <w:r w:rsidRPr="00D209C5">
                            <w:rPr>
                              <w:rFonts w:ascii="Arial" w:hAnsi="Arial" w:cs="Arial"/>
                              <w:b/>
                              <w:bCs/>
                              <w:color w:val="1F497D"/>
                              <w:sz w:val="16"/>
                              <w:szCs w:val="16"/>
                            </w:rPr>
                            <w:t>Conselho Regional de Psicologia 10ª Região PA/AP - CNPJ: 37.115.540.0001-20</w:t>
                          </w:r>
                        </w:p>
                        <w:p w:rsidR="00A91743" w:rsidRPr="00D209C5" w:rsidRDefault="00F63AB8" w:rsidP="009F0DBD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</w:rPr>
                          </w:pPr>
                          <w:r w:rsidRPr="00D209C5">
                            <w:rPr>
                              <w:rFonts w:ascii="Arial" w:hAnsi="Arial" w:cs="Arial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  <w:t>Belém/PA</w:t>
                          </w: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</w:rPr>
                            <w:t xml:space="preserve">: Av. Generalíssimo Deodoro, 511                          </w:t>
                          </w:r>
                          <w:r w:rsidRPr="00D209C5">
                            <w:rPr>
                              <w:rFonts w:ascii="Arial" w:hAnsi="Arial" w:cs="Arial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  <w:t xml:space="preserve"> Macapá/AP</w:t>
                          </w: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</w:rPr>
                            <w:t xml:space="preserve">: Rua Rio </w:t>
                          </w:r>
                          <w:proofErr w:type="spellStart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</w:rPr>
                            <w:t>Macacoari</w:t>
                          </w:r>
                          <w:proofErr w:type="spellEnd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</w:rPr>
                            <w:t xml:space="preserve">, nº 16, sala </w:t>
                          </w:r>
                          <w:proofErr w:type="gramStart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</w:rPr>
                            <w:t>02</w:t>
                          </w:r>
                          <w:proofErr w:type="gramEnd"/>
                        </w:p>
                        <w:p w:rsidR="00A91743" w:rsidRPr="00D209C5" w:rsidRDefault="00F63AB8" w:rsidP="009F0DBD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Fone</w:t>
                          </w:r>
                          <w:proofErr w:type="spellEnd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: (91) 3224-6322/32246690</w:t>
                          </w: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ab/>
                            <w:t xml:space="preserve">                        </w:t>
                          </w:r>
                          <w:proofErr w:type="spellStart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Fone</w:t>
                          </w:r>
                          <w:proofErr w:type="spellEnd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 xml:space="preserve">/Fax: (96)3223-3945             </w:t>
                          </w:r>
                        </w:p>
                        <w:p w:rsidR="00A91743" w:rsidRPr="00D209C5" w:rsidRDefault="00F63AB8" w:rsidP="009F0DBD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</w:pP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CEP: 66.055-240</w:t>
                          </w: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ab/>
                            <w:t xml:space="preserve">           CEP: 68.901-020</w:t>
                          </w:r>
                        </w:p>
                        <w:p w:rsidR="00A91743" w:rsidRPr="00D209C5" w:rsidRDefault="00F63AB8" w:rsidP="009F0DBD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</w:pP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Fax: (091) 3225-4491/30854281</w:t>
                          </w: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ab/>
                            <w:t xml:space="preserve">                                          Email: </w:t>
                          </w:r>
                          <w:hyperlink r:id="rId1" w:history="1">
                            <w:r w:rsidRPr="00D209C5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F497D"/>
                                <w:sz w:val="14"/>
                                <w:szCs w:val="14"/>
                                <w:lang w:val="en-US"/>
                              </w:rPr>
                              <w:t>secaoamapa@crp10.org.br</w:t>
                            </w:r>
                          </w:hyperlink>
                        </w:p>
                        <w:p w:rsidR="00A91743" w:rsidRPr="00D209C5" w:rsidRDefault="00F63AB8" w:rsidP="009F0DBD">
                          <w:pPr>
                            <w:pStyle w:val="Rodap"/>
                            <w:rPr>
                              <w:b/>
                              <w:color w:val="1F497D"/>
                            </w:rPr>
                          </w:pPr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Email</w:t>
                          </w:r>
                          <w:proofErr w:type="gramStart"/>
                          <w:r w:rsidRPr="00D209C5">
                            <w:rPr>
                              <w:rFonts w:ascii="Arial" w:hAnsi="Arial" w:cs="Arial"/>
                              <w:b/>
                              <w:color w:val="1F497D"/>
                              <w:sz w:val="14"/>
                              <w:szCs w:val="14"/>
                              <w:lang w:val="en-US"/>
                            </w:rPr>
                            <w:t>:</w:t>
                          </w:r>
                          <w:proofErr w:type="gramEnd"/>
                          <w:hyperlink r:id="rId2" w:history="1">
                            <w:r w:rsidRPr="00D209C5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F497D"/>
                                <w:sz w:val="14"/>
                                <w:szCs w:val="14"/>
                              </w:rPr>
                              <w:t>crp10@crp10.org.br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1.05pt;margin-top:-25.8pt;width:353.6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" filled="f" fillcolor="#4f81bd" stroked="f" strokecolor="#f2f2f2" strokeweight="3pt">
              <v:textbox>
                <w:txbxContent>
                  <w:p w:rsidR="00A91743" w:rsidRPr="00D209C5" w:rsidRDefault="00F63AB8" w:rsidP="009F0DBD">
                    <w:pPr>
                      <w:pStyle w:val="Rodap"/>
                      <w:tabs>
                        <w:tab w:val="clear" w:pos="8504"/>
                      </w:tabs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1F497D"/>
                        <w:sz w:val="16"/>
                        <w:szCs w:val="16"/>
                      </w:rPr>
                    </w:pPr>
                    <w:r w:rsidRPr="00D209C5">
                      <w:rPr>
                        <w:rFonts w:ascii="Arial" w:hAnsi="Arial" w:cs="Arial"/>
                        <w:b/>
                        <w:bCs/>
                        <w:color w:val="1F497D"/>
                        <w:sz w:val="16"/>
                        <w:szCs w:val="16"/>
                      </w:rPr>
                      <w:t>Conselho Regional de Psicologia 10ª Região PA/AP - CNPJ: 37.115.540.0001-20</w:t>
                    </w:r>
                  </w:p>
                  <w:p w:rsidR="00A91743" w:rsidRPr="00D209C5" w:rsidRDefault="00F63AB8" w:rsidP="009F0DBD">
                    <w:pPr>
                      <w:pStyle w:val="Rodap"/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</w:rPr>
                    </w:pPr>
                    <w:r w:rsidRPr="00D209C5">
                      <w:rPr>
                        <w:rFonts w:ascii="Arial" w:hAnsi="Arial" w:cs="Arial"/>
                        <w:b/>
                        <w:bCs/>
                        <w:color w:val="1F497D"/>
                        <w:sz w:val="14"/>
                        <w:szCs w:val="14"/>
                      </w:rPr>
                      <w:t>Belém/PA</w:t>
                    </w: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</w:rPr>
                      <w:t xml:space="preserve">: Av. Generalíssimo Deodoro, 511                          </w:t>
                    </w:r>
                    <w:r w:rsidRPr="00D209C5">
                      <w:rPr>
                        <w:rFonts w:ascii="Arial" w:hAnsi="Arial" w:cs="Arial"/>
                        <w:b/>
                        <w:bCs/>
                        <w:color w:val="1F497D"/>
                        <w:sz w:val="14"/>
                        <w:szCs w:val="14"/>
                      </w:rPr>
                      <w:t xml:space="preserve"> Macapá/AP</w:t>
                    </w: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</w:rPr>
                      <w:t xml:space="preserve">: Rua Rio </w:t>
                    </w:r>
                    <w:proofErr w:type="spellStart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</w:rPr>
                      <w:t>Macacoari</w:t>
                    </w:r>
                    <w:proofErr w:type="spellEnd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</w:rPr>
                      <w:t xml:space="preserve">, nº 16, sala </w:t>
                    </w:r>
                    <w:proofErr w:type="gramStart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</w:rPr>
                      <w:t>02</w:t>
                    </w:r>
                    <w:proofErr w:type="gramEnd"/>
                  </w:p>
                  <w:p w:rsidR="00A91743" w:rsidRPr="00D209C5" w:rsidRDefault="00F63AB8" w:rsidP="009F0DBD">
                    <w:pPr>
                      <w:pStyle w:val="Rodap"/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</w:pPr>
                    <w:proofErr w:type="spellStart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Fone</w:t>
                    </w:r>
                    <w:proofErr w:type="spellEnd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: (91) 3224-6322/32246690</w:t>
                    </w: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ab/>
                      <w:t xml:space="preserve">                        </w:t>
                    </w:r>
                    <w:proofErr w:type="spellStart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Fone</w:t>
                    </w:r>
                    <w:proofErr w:type="spellEnd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 xml:space="preserve">/Fax: (96)3223-3945             </w:t>
                    </w:r>
                  </w:p>
                  <w:p w:rsidR="00A91743" w:rsidRPr="00D209C5" w:rsidRDefault="00F63AB8" w:rsidP="009F0DBD">
                    <w:pPr>
                      <w:pStyle w:val="Rodap"/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</w:pP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CEP: 66.055-240</w:t>
                    </w: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ab/>
                      <w:t xml:space="preserve">           CEP: 68.901-020</w:t>
                    </w:r>
                  </w:p>
                  <w:p w:rsidR="00A91743" w:rsidRPr="00D209C5" w:rsidRDefault="00F63AB8" w:rsidP="009F0DBD">
                    <w:pPr>
                      <w:pStyle w:val="Rodap"/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</w:pP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Fax: (091) 3225-4491/30854281</w:t>
                    </w: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ab/>
                      <w:t xml:space="preserve">                                          Email: </w:t>
                    </w:r>
                    <w:hyperlink r:id="rId3" w:history="1">
                      <w:r w:rsidRPr="00D209C5">
                        <w:rPr>
                          <w:rStyle w:val="Hyperlink"/>
                          <w:rFonts w:ascii="Arial" w:hAnsi="Arial" w:cs="Arial"/>
                          <w:b/>
                          <w:color w:val="1F497D"/>
                          <w:sz w:val="14"/>
                          <w:szCs w:val="14"/>
                          <w:lang w:val="en-US"/>
                        </w:rPr>
                        <w:t>secaoamapa@crp10.org.br</w:t>
                      </w:r>
                    </w:hyperlink>
                  </w:p>
                  <w:p w:rsidR="00A91743" w:rsidRPr="00D209C5" w:rsidRDefault="00F63AB8" w:rsidP="009F0DBD">
                    <w:pPr>
                      <w:pStyle w:val="Rodap"/>
                      <w:rPr>
                        <w:b/>
                        <w:color w:val="1F497D"/>
                      </w:rPr>
                    </w:pPr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Email</w:t>
                    </w:r>
                    <w:proofErr w:type="gramStart"/>
                    <w:r w:rsidRPr="00D209C5">
                      <w:rPr>
                        <w:rFonts w:ascii="Arial" w:hAnsi="Arial" w:cs="Arial"/>
                        <w:b/>
                        <w:color w:val="1F497D"/>
                        <w:sz w:val="14"/>
                        <w:szCs w:val="14"/>
                        <w:lang w:val="en-US"/>
                      </w:rPr>
                      <w:t>:</w:t>
                    </w:r>
                    <w:proofErr w:type="gramEnd"/>
                    <w:hyperlink r:id="rId4" w:history="1">
                      <w:r w:rsidRPr="00D209C5">
                        <w:rPr>
                          <w:rStyle w:val="Hyperlink"/>
                          <w:rFonts w:ascii="Arial" w:hAnsi="Arial" w:cs="Arial"/>
                          <w:b/>
                          <w:color w:val="1F497D"/>
                          <w:sz w:val="14"/>
                          <w:szCs w:val="14"/>
                        </w:rPr>
                        <w:t>crp10@crp10.org.br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B48CE">
      <w:rPr>
        <w:noProof/>
      </w:rPr>
      <w:drawing>
        <wp:anchor distT="0" distB="0" distL="114300" distR="114300" simplePos="0" relativeHeight="251661312" behindDoc="1" locked="0" layoutInCell="1" allowOverlap="1" wp14:anchorId="2EE3F604" wp14:editId="7A61C9B9">
          <wp:simplePos x="0" y="0"/>
          <wp:positionH relativeFrom="column">
            <wp:posOffset>-1119505</wp:posOffset>
          </wp:positionH>
          <wp:positionV relativeFrom="paragraph">
            <wp:posOffset>-1062355</wp:posOffset>
          </wp:positionV>
          <wp:extent cx="7614285" cy="1685925"/>
          <wp:effectExtent l="0" t="0" r="5715" b="9525"/>
          <wp:wrapNone/>
          <wp:docPr id="3" name="Imagem 0" descr="Timbrado CRP10 2 -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 CRP10 2 - A4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84320" r="3"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168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48C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posOffset>145415</wp:posOffset>
              </wp:positionH>
              <wp:positionV relativeFrom="page">
                <wp:posOffset>8640445</wp:posOffset>
              </wp:positionV>
              <wp:extent cx="777240" cy="687705"/>
              <wp:effectExtent l="0" t="0" r="0" b="0"/>
              <wp:wrapNone/>
              <wp:docPr id="5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743" w:rsidRPr="00D209C5" w:rsidRDefault="00F63AB8">
                          <w:pPr>
                            <w:pStyle w:val="Rodap"/>
                            <w:rPr>
                              <w:rFonts w:ascii="Cambria" w:hAnsi="Cambria"/>
                              <w:color w:val="1F497D"/>
                              <w:sz w:val="36"/>
                              <w:szCs w:val="44"/>
                            </w:rPr>
                          </w:pPr>
                          <w:r w:rsidRPr="00D209C5">
                            <w:rPr>
                              <w:rFonts w:ascii="Cambria" w:hAnsi="Cambria"/>
                              <w:color w:val="1F497D"/>
                              <w:sz w:val="18"/>
                            </w:rPr>
                            <w:t>Página</w:t>
                          </w:r>
                          <w:r w:rsidRPr="00D209C5">
                            <w:rPr>
                              <w:color w:val="1F497D"/>
                              <w:sz w:val="18"/>
                              <w:szCs w:val="21"/>
                            </w:rPr>
                            <w:fldChar w:fldCharType="begin"/>
                          </w:r>
                          <w:r w:rsidRPr="00D209C5">
                            <w:rPr>
                              <w:color w:val="1F497D"/>
                              <w:sz w:val="18"/>
                            </w:rPr>
                            <w:instrText>PAGE    \* MERGEFORMAT</w:instrText>
                          </w:r>
                          <w:r w:rsidRPr="00D209C5">
                            <w:rPr>
                              <w:color w:val="1F497D"/>
                              <w:sz w:val="18"/>
                              <w:szCs w:val="21"/>
                            </w:rPr>
                            <w:fldChar w:fldCharType="separate"/>
                          </w:r>
                          <w:r w:rsidR="00411746" w:rsidRPr="00411746">
                            <w:rPr>
                              <w:rFonts w:ascii="Cambria" w:hAnsi="Cambria"/>
                              <w:noProof/>
                              <w:color w:val="1F497D"/>
                              <w:sz w:val="36"/>
                              <w:szCs w:val="44"/>
                            </w:rPr>
                            <w:t>5</w:t>
                          </w:r>
                          <w:r w:rsidRPr="00D209C5">
                            <w:rPr>
                              <w:rFonts w:ascii="Cambria" w:hAnsi="Cambria"/>
                              <w:color w:val="1F497D"/>
                              <w:sz w:val="36"/>
                              <w:szCs w:val="44"/>
                            </w:rPr>
                            <w:fldChar w:fldCharType="end"/>
                          </w:r>
                        </w:p>
                        <w:p w:rsidR="00A91743" w:rsidRDefault="00411746"/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3" o:spid="_x0000_s1027" style="position:absolute;margin-left:11.45pt;margin-top:680.35pt;width:61.2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" o:allowincell="f" filled="f" stroked="f">
              <v:textbox style="layout-flow:vertical;mso-layout-flow-alt:bottom-to-top">
                <w:txbxContent>
                  <w:p w:rsidR="00A91743" w:rsidRPr="00D209C5" w:rsidRDefault="00F63AB8">
                    <w:pPr>
                      <w:pStyle w:val="Rodap"/>
                      <w:rPr>
                        <w:rFonts w:ascii="Cambria" w:hAnsi="Cambria"/>
                        <w:color w:val="1F497D"/>
                        <w:sz w:val="36"/>
                        <w:szCs w:val="44"/>
                      </w:rPr>
                    </w:pPr>
                    <w:r w:rsidRPr="00D209C5">
                      <w:rPr>
                        <w:rFonts w:ascii="Cambria" w:hAnsi="Cambria"/>
                        <w:color w:val="1F497D"/>
                        <w:sz w:val="18"/>
                      </w:rPr>
                      <w:t>Página</w:t>
                    </w:r>
                    <w:r w:rsidRPr="00D209C5">
                      <w:rPr>
                        <w:color w:val="1F497D"/>
                        <w:sz w:val="18"/>
                        <w:szCs w:val="21"/>
                      </w:rPr>
                      <w:fldChar w:fldCharType="begin"/>
                    </w:r>
                    <w:r w:rsidRPr="00D209C5">
                      <w:rPr>
                        <w:color w:val="1F497D"/>
                        <w:sz w:val="18"/>
                      </w:rPr>
                      <w:instrText>PAGE    \* MERGEFORMAT</w:instrText>
                    </w:r>
                    <w:r w:rsidRPr="00D209C5">
                      <w:rPr>
                        <w:color w:val="1F497D"/>
                        <w:sz w:val="18"/>
                        <w:szCs w:val="21"/>
                      </w:rPr>
                      <w:fldChar w:fldCharType="separate"/>
                    </w:r>
                    <w:r w:rsidR="00411746" w:rsidRPr="00411746">
                      <w:rPr>
                        <w:rFonts w:ascii="Cambria" w:hAnsi="Cambria"/>
                        <w:noProof/>
                        <w:color w:val="1F497D"/>
                        <w:sz w:val="36"/>
                        <w:szCs w:val="44"/>
                      </w:rPr>
                      <w:t>5</w:t>
                    </w:r>
                    <w:r w:rsidRPr="00D209C5">
                      <w:rPr>
                        <w:rFonts w:ascii="Cambria" w:hAnsi="Cambria"/>
                        <w:color w:val="1F497D"/>
                        <w:sz w:val="36"/>
                        <w:szCs w:val="44"/>
                      </w:rPr>
                      <w:fldChar w:fldCharType="end"/>
                    </w:r>
                  </w:p>
                  <w:p w:rsidR="00A91743" w:rsidRDefault="00411746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607" w:rsidRDefault="00551607">
      <w:pPr>
        <w:spacing w:after="0" w:line="240" w:lineRule="auto"/>
      </w:pPr>
      <w:r>
        <w:separator/>
      </w:r>
    </w:p>
  </w:footnote>
  <w:footnote w:type="continuationSeparator" w:id="0">
    <w:p w:rsidR="00551607" w:rsidRDefault="0055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743" w:rsidRPr="00436CA0" w:rsidRDefault="00F63AB8" w:rsidP="009F0DBD">
    <w:pPr>
      <w:pStyle w:val="Cabealho"/>
      <w:jc w:val="center"/>
      <w:rPr>
        <w:i/>
        <w:color w:val="1F497D"/>
      </w:rPr>
    </w:pPr>
    <w:r w:rsidRPr="00436CA0">
      <w:rPr>
        <w:rFonts w:ascii="Arial Black" w:hAnsi="Arial Black"/>
        <w:b/>
        <w:color w:val="1F497D"/>
        <w:sz w:val="12"/>
        <w:szCs w:val="12"/>
      </w:rPr>
      <w:t>Serviço Público Federal</w:t>
    </w:r>
  </w:p>
  <w:p w:rsidR="00A91743" w:rsidRPr="00436CA0" w:rsidRDefault="00F63AB8" w:rsidP="009F0DBD">
    <w:pPr>
      <w:spacing w:after="60"/>
      <w:rPr>
        <w:rFonts w:ascii="Arial Black" w:hAnsi="Arial Black"/>
        <w:b/>
        <w:color w:val="1F497D"/>
        <w:sz w:val="16"/>
        <w:szCs w:val="16"/>
      </w:rPr>
    </w:pPr>
    <w:r w:rsidRPr="00436CA0">
      <w:rPr>
        <w:rFonts w:ascii="Arial Black" w:hAnsi="Arial Black"/>
        <w:b/>
        <w:color w:val="1F497D"/>
        <w:sz w:val="16"/>
        <w:szCs w:val="16"/>
      </w:rPr>
      <w:t xml:space="preserve">                                      CONSELHO REGIONAL DE PSICOLOGIA _ 10ª REGIÃO</w:t>
    </w:r>
  </w:p>
  <w:p w:rsidR="00A91743" w:rsidRPr="00436CA0" w:rsidRDefault="009B48CE" w:rsidP="009F0DBD">
    <w:pPr>
      <w:tabs>
        <w:tab w:val="left" w:pos="7965"/>
      </w:tabs>
      <w:spacing w:after="60"/>
      <w:rPr>
        <w:color w:val="1F497D"/>
      </w:rPr>
    </w:pPr>
    <w:r>
      <w:rPr>
        <w:noProof/>
        <w:color w:val="1F497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-2659380</wp:posOffset>
          </wp:positionH>
          <wp:positionV relativeFrom="paragraph">
            <wp:posOffset>41910</wp:posOffset>
          </wp:positionV>
          <wp:extent cx="2078355" cy="10400665"/>
          <wp:effectExtent l="0" t="0" r="0" b="0"/>
          <wp:wrapNone/>
          <wp:docPr id="4" name="Imagem 1" descr="Timbrado CRP 10 -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RP 10 -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681" t="-7974" r="108295" b="10965"/>
                  <a:stretch>
                    <a:fillRect/>
                  </a:stretch>
                </pic:blipFill>
                <pic:spPr bwMode="auto">
                  <a:xfrm>
                    <a:off x="0" y="0"/>
                    <a:ext cx="2078355" cy="1040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3AB8" w:rsidRPr="00436CA0">
      <w:rPr>
        <w:rFonts w:ascii="Arial Black" w:hAnsi="Arial Black"/>
        <w:b/>
        <w:color w:val="1F497D"/>
        <w:sz w:val="12"/>
        <w:szCs w:val="12"/>
      </w:rPr>
      <w:t xml:space="preserve">                                                                                        JURISDIÇÃO Pará/Amapá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B8"/>
    <w:rsid w:val="000717AC"/>
    <w:rsid w:val="00112245"/>
    <w:rsid w:val="00123E13"/>
    <w:rsid w:val="00135BDA"/>
    <w:rsid w:val="0014701B"/>
    <w:rsid w:val="002A0EFF"/>
    <w:rsid w:val="002D515C"/>
    <w:rsid w:val="002E0758"/>
    <w:rsid w:val="00367727"/>
    <w:rsid w:val="003E23E4"/>
    <w:rsid w:val="003E263B"/>
    <w:rsid w:val="00411746"/>
    <w:rsid w:val="00435A16"/>
    <w:rsid w:val="00451E4B"/>
    <w:rsid w:val="004E78D0"/>
    <w:rsid w:val="004F4153"/>
    <w:rsid w:val="00511F41"/>
    <w:rsid w:val="00551607"/>
    <w:rsid w:val="00561F6E"/>
    <w:rsid w:val="005E2E02"/>
    <w:rsid w:val="00623048"/>
    <w:rsid w:val="006863B5"/>
    <w:rsid w:val="00691432"/>
    <w:rsid w:val="00703BF5"/>
    <w:rsid w:val="007171C1"/>
    <w:rsid w:val="00773C2A"/>
    <w:rsid w:val="00780380"/>
    <w:rsid w:val="0079648B"/>
    <w:rsid w:val="008211B9"/>
    <w:rsid w:val="008540F5"/>
    <w:rsid w:val="008A36EC"/>
    <w:rsid w:val="008B614D"/>
    <w:rsid w:val="00900AE5"/>
    <w:rsid w:val="00915FF3"/>
    <w:rsid w:val="00956659"/>
    <w:rsid w:val="00982E95"/>
    <w:rsid w:val="009B48CE"/>
    <w:rsid w:val="00A37FBD"/>
    <w:rsid w:val="00A957CB"/>
    <w:rsid w:val="00B11FA9"/>
    <w:rsid w:val="00BE7498"/>
    <w:rsid w:val="00C95539"/>
    <w:rsid w:val="00CB56EB"/>
    <w:rsid w:val="00CD1817"/>
    <w:rsid w:val="00CF7088"/>
    <w:rsid w:val="00D378BE"/>
    <w:rsid w:val="00D81B4C"/>
    <w:rsid w:val="00E15430"/>
    <w:rsid w:val="00E344CE"/>
    <w:rsid w:val="00ED61CA"/>
    <w:rsid w:val="00F63AB8"/>
    <w:rsid w:val="00FA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AB8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63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3AB8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63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3AB8"/>
    <w:rPr>
      <w:rFonts w:ascii="Calibri" w:eastAsia="Times New Roman" w:hAnsi="Calibri" w:cs="Times New Roman"/>
      <w:lang w:eastAsia="pt-BR"/>
    </w:rPr>
  </w:style>
  <w:style w:type="character" w:styleId="Hyperlink">
    <w:name w:val="Hyperlink"/>
    <w:uiPriority w:val="99"/>
    <w:rsid w:val="00F63A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63A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63AB8"/>
    <w:rPr>
      <w:b/>
      <w:bCs/>
    </w:rPr>
  </w:style>
  <w:style w:type="character" w:customStyle="1" w:styleId="il">
    <w:name w:val="il"/>
    <w:basedOn w:val="Fontepargpadro"/>
    <w:rsid w:val="00F63AB8"/>
  </w:style>
  <w:style w:type="paragraph" w:customStyle="1" w:styleId="Default">
    <w:name w:val="Default"/>
    <w:rsid w:val="004F41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AB8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63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3AB8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63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3AB8"/>
    <w:rPr>
      <w:rFonts w:ascii="Calibri" w:eastAsia="Times New Roman" w:hAnsi="Calibri" w:cs="Times New Roman"/>
      <w:lang w:eastAsia="pt-BR"/>
    </w:rPr>
  </w:style>
  <w:style w:type="character" w:styleId="Hyperlink">
    <w:name w:val="Hyperlink"/>
    <w:uiPriority w:val="99"/>
    <w:rsid w:val="00F63A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63A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63AB8"/>
    <w:rPr>
      <w:b/>
      <w:bCs/>
    </w:rPr>
  </w:style>
  <w:style w:type="character" w:customStyle="1" w:styleId="il">
    <w:name w:val="il"/>
    <w:basedOn w:val="Fontepargpadro"/>
    <w:rsid w:val="00F63AB8"/>
  </w:style>
  <w:style w:type="paragraph" w:customStyle="1" w:styleId="Default">
    <w:name w:val="Default"/>
    <w:rsid w:val="004F41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aoamapa@crp10.org.br" TargetMode="External"/><Relationship Id="rId2" Type="http://schemas.openxmlformats.org/officeDocument/2006/relationships/hyperlink" Target="mailto:crp10@crp10.org.br" TargetMode="External"/><Relationship Id="rId1" Type="http://schemas.openxmlformats.org/officeDocument/2006/relationships/hyperlink" Target="mailto:secaoamapa@crp10.org.br" TargetMode="External"/><Relationship Id="rId5" Type="http://schemas.openxmlformats.org/officeDocument/2006/relationships/image" Target="media/image2.jpeg"/><Relationship Id="rId4" Type="http://schemas.openxmlformats.org/officeDocument/2006/relationships/hyperlink" Target="mailto:crp10@crp10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715A3-2732-41C7-BDAC-87A91447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1687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II</dc:creator>
  <cp:lastModifiedBy>Admin</cp:lastModifiedBy>
  <cp:revision>70</cp:revision>
  <cp:lastPrinted>2018-04-26T23:10:00Z</cp:lastPrinted>
  <dcterms:created xsi:type="dcterms:W3CDTF">2018-04-25T17:17:00Z</dcterms:created>
  <dcterms:modified xsi:type="dcterms:W3CDTF">2018-04-26T23:12:00Z</dcterms:modified>
</cp:coreProperties>
</file>